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D8CE2" w14:textId="61A96A58" w:rsidR="00F63E66" w:rsidRDefault="00F63E66" w:rsidP="00F63E66">
      <w:pPr>
        <w:pStyle w:val="Titre"/>
        <w:jc w:val="center"/>
      </w:pPr>
      <w:bookmarkStart w:id="0" w:name="_GoBack"/>
      <w:bookmarkEnd w:id="0"/>
      <w:r w:rsidRPr="005967D5">
        <w:rPr>
          <w:noProof/>
        </w:rPr>
        <w:drawing>
          <wp:inline distT="0" distB="0" distL="0" distR="0" wp14:anchorId="3B61A403" wp14:editId="2BDDCC1A">
            <wp:extent cx="1314450" cy="1343499"/>
            <wp:effectExtent l="19050" t="0" r="0" b="0"/>
            <wp:docPr id="2" name="Image 1" descr="c:\Users\Valentine Lassalas\Desktop\Autre\Logo Concordeh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e Lassalas\Desktop\Autre\Logo Concordehd (6).jpg"/>
                    <pic:cNvPicPr>
                      <a:picLocks noChangeAspect="1" noChangeArrowheads="1"/>
                    </pic:cNvPicPr>
                  </pic:nvPicPr>
                  <pic:blipFill>
                    <a:blip r:embed="rId8"/>
                    <a:srcRect/>
                    <a:stretch>
                      <a:fillRect/>
                    </a:stretch>
                  </pic:blipFill>
                  <pic:spPr bwMode="auto">
                    <a:xfrm>
                      <a:off x="0" y="0"/>
                      <a:ext cx="1314450" cy="1343499"/>
                    </a:xfrm>
                    <a:prstGeom prst="rect">
                      <a:avLst/>
                    </a:prstGeom>
                    <a:noFill/>
                    <a:ln w="9525">
                      <a:noFill/>
                      <a:miter lim="800000"/>
                      <a:headEnd/>
                      <a:tailEnd/>
                    </a:ln>
                  </pic:spPr>
                </pic:pic>
              </a:graphicData>
            </a:graphic>
          </wp:inline>
        </w:drawing>
      </w:r>
    </w:p>
    <w:p w14:paraId="6167C374" w14:textId="77777777" w:rsidR="00CD0B2A" w:rsidRDefault="00CD0B2A" w:rsidP="00F63E66">
      <w:pPr>
        <w:pStyle w:val="Titre"/>
        <w:jc w:val="center"/>
        <w:rPr>
          <w:i/>
        </w:rPr>
      </w:pPr>
    </w:p>
    <w:p w14:paraId="4083CB5C" w14:textId="7B48665D" w:rsidR="00F63E66" w:rsidRPr="0077698C" w:rsidRDefault="00660D6D" w:rsidP="00F63E66">
      <w:pPr>
        <w:pStyle w:val="Titre"/>
        <w:jc w:val="center"/>
        <w:rPr>
          <w:i/>
        </w:rPr>
      </w:pPr>
      <w:r>
        <w:rPr>
          <w:i/>
        </w:rPr>
        <w:t>P</w:t>
      </w:r>
      <w:r w:rsidR="00B7660D">
        <w:rPr>
          <w:i/>
        </w:rPr>
        <w:t>roduits phytosanitaires dans l’agriculture</w:t>
      </w:r>
      <w:r>
        <w:rPr>
          <w:i/>
        </w:rPr>
        <w:t xml:space="preserve"> : </w:t>
      </w:r>
      <w:r w:rsidR="00F36891">
        <w:rPr>
          <w:i/>
        </w:rPr>
        <w:t>l’urgence d’une approche dépassionnée et rationnelle</w:t>
      </w:r>
    </w:p>
    <w:p w14:paraId="3264DEE6" w14:textId="7035835A" w:rsidR="00061113" w:rsidRPr="00CD0B2A" w:rsidRDefault="00660D6D" w:rsidP="008F5E90">
      <w:pPr>
        <w:jc w:val="center"/>
        <w:rPr>
          <w:b/>
          <w:sz w:val="28"/>
          <w:szCs w:val="28"/>
        </w:rPr>
      </w:pPr>
      <w:r>
        <w:rPr>
          <w:b/>
          <w:sz w:val="28"/>
          <w:szCs w:val="28"/>
        </w:rPr>
        <w:t>Le cas du glyphosate</w:t>
      </w:r>
    </w:p>
    <w:p w14:paraId="62C7F512" w14:textId="77777777" w:rsidR="00061113" w:rsidRDefault="00061113" w:rsidP="008F5E90">
      <w:pPr>
        <w:jc w:val="center"/>
        <w:rPr>
          <w:b/>
        </w:rPr>
      </w:pPr>
    </w:p>
    <w:p w14:paraId="42849436" w14:textId="77777777" w:rsidR="00CD0B2A" w:rsidRDefault="00CD0B2A" w:rsidP="008F5E90">
      <w:pPr>
        <w:jc w:val="center"/>
        <w:rPr>
          <w:b/>
        </w:rPr>
      </w:pPr>
    </w:p>
    <w:p w14:paraId="1C2B1525" w14:textId="77777777" w:rsidR="006B057F" w:rsidRDefault="006B057F" w:rsidP="002A3B9A">
      <w:pPr>
        <w:jc w:val="left"/>
        <w:rPr>
          <w:b/>
        </w:rPr>
      </w:pPr>
    </w:p>
    <w:p w14:paraId="3BD8E405" w14:textId="77777777" w:rsidR="002A3B9A" w:rsidRDefault="002A3B9A" w:rsidP="002A3B9A">
      <w:pPr>
        <w:jc w:val="left"/>
        <w:rPr>
          <w:b/>
        </w:rPr>
      </w:pPr>
    </w:p>
    <w:p w14:paraId="4300A6CF" w14:textId="77777777" w:rsidR="002A3B9A" w:rsidRDefault="002A3B9A" w:rsidP="002A3B9A">
      <w:pPr>
        <w:jc w:val="left"/>
        <w:rPr>
          <w:b/>
        </w:rPr>
      </w:pPr>
    </w:p>
    <w:p w14:paraId="1665E976" w14:textId="77777777" w:rsidR="00CD0B2A" w:rsidRDefault="00CD0B2A" w:rsidP="008F5E90">
      <w:pPr>
        <w:jc w:val="center"/>
        <w:rPr>
          <w:b/>
        </w:rPr>
      </w:pPr>
    </w:p>
    <w:p w14:paraId="5EBA11D5" w14:textId="77777777" w:rsidR="00CD0B2A" w:rsidRDefault="00CD0B2A" w:rsidP="008F5E90">
      <w:pPr>
        <w:jc w:val="center"/>
        <w:rPr>
          <w:b/>
        </w:rPr>
      </w:pPr>
    </w:p>
    <w:p w14:paraId="234AFA89" w14:textId="77777777" w:rsidR="00CD0B2A" w:rsidRDefault="00CD0B2A" w:rsidP="008F5E90">
      <w:pPr>
        <w:jc w:val="center"/>
        <w:rPr>
          <w:b/>
        </w:rPr>
      </w:pPr>
    </w:p>
    <w:p w14:paraId="0E7A31AA" w14:textId="77777777" w:rsidR="00CD0B2A" w:rsidRDefault="00CD0B2A" w:rsidP="008F5E90">
      <w:pPr>
        <w:jc w:val="center"/>
        <w:rPr>
          <w:b/>
        </w:rPr>
      </w:pPr>
    </w:p>
    <w:p w14:paraId="00CFFCB6" w14:textId="77777777" w:rsidR="00CD0B2A" w:rsidRDefault="00CD0B2A" w:rsidP="008F5E90">
      <w:pPr>
        <w:jc w:val="center"/>
        <w:rPr>
          <w:b/>
        </w:rPr>
      </w:pPr>
    </w:p>
    <w:p w14:paraId="461E7D33" w14:textId="77777777" w:rsidR="00CD0B2A" w:rsidRDefault="00CD0B2A" w:rsidP="008F5E90">
      <w:pPr>
        <w:jc w:val="center"/>
        <w:rPr>
          <w:b/>
        </w:rPr>
      </w:pPr>
    </w:p>
    <w:p w14:paraId="1AB5F861" w14:textId="77777777" w:rsidR="00CD0B2A" w:rsidRDefault="00CD0B2A" w:rsidP="008F5E90">
      <w:pPr>
        <w:jc w:val="center"/>
        <w:rPr>
          <w:b/>
        </w:rPr>
      </w:pPr>
    </w:p>
    <w:p w14:paraId="38A2CD97" w14:textId="441B381A" w:rsidR="009E76FC" w:rsidRDefault="00CD0B2A" w:rsidP="008F5E90">
      <w:pPr>
        <w:jc w:val="center"/>
        <w:rPr>
          <w:b/>
        </w:rPr>
      </w:pPr>
      <w:r>
        <w:rPr>
          <w:b/>
        </w:rPr>
        <w:tab/>
      </w:r>
      <w:r>
        <w:rPr>
          <w:b/>
        </w:rPr>
        <w:tab/>
      </w:r>
      <w:r>
        <w:rPr>
          <w:b/>
        </w:rPr>
        <w:tab/>
      </w:r>
      <w:r>
        <w:rPr>
          <w:b/>
        </w:rPr>
        <w:tab/>
      </w:r>
      <w:r>
        <w:rPr>
          <w:b/>
        </w:rPr>
        <w:tab/>
      </w:r>
      <w:r>
        <w:rPr>
          <w:b/>
        </w:rPr>
        <w:tab/>
      </w:r>
    </w:p>
    <w:p w14:paraId="09C3054C" w14:textId="3D17138A" w:rsidR="00641B17" w:rsidRPr="00641B17" w:rsidRDefault="00641B17" w:rsidP="008F5E90">
      <w:pPr>
        <w:jc w:val="center"/>
        <w:rPr>
          <w:b/>
          <w:sz w:val="20"/>
          <w:szCs w:val="20"/>
        </w:rPr>
      </w:pPr>
      <w:r w:rsidRPr="00641B17">
        <w:rPr>
          <w:b/>
          <w:sz w:val="20"/>
          <w:szCs w:val="20"/>
        </w:rPr>
        <w:t xml:space="preserve">                                                                                                                   </w:t>
      </w:r>
      <w:r>
        <w:rPr>
          <w:b/>
          <w:sz w:val="20"/>
          <w:szCs w:val="20"/>
        </w:rPr>
        <w:t xml:space="preserve">                 </w:t>
      </w:r>
    </w:p>
    <w:p w14:paraId="513781D5" w14:textId="77777777" w:rsidR="009E76FC" w:rsidRDefault="009E76FC" w:rsidP="00F63E66"/>
    <w:p w14:paraId="1B1D6111" w14:textId="10900FD9" w:rsidR="004D4819" w:rsidRDefault="004D4819">
      <w:pPr>
        <w:spacing w:after="0"/>
        <w:jc w:val="left"/>
        <w:rPr>
          <w:i/>
        </w:rPr>
      </w:pPr>
      <w:r>
        <w:rPr>
          <w:i/>
        </w:rPr>
        <w:br w:type="page"/>
      </w:r>
    </w:p>
    <w:p w14:paraId="3F385989" w14:textId="0BB4E8D8" w:rsidR="004D4819" w:rsidRPr="008F5E90" w:rsidRDefault="004D4819" w:rsidP="008F5E90">
      <w:pPr>
        <w:jc w:val="center"/>
        <w:rPr>
          <w:b/>
          <w:u w:val="single"/>
        </w:rPr>
      </w:pPr>
      <w:r w:rsidRPr="008F5E90">
        <w:rPr>
          <w:b/>
          <w:u w:val="single"/>
        </w:rPr>
        <w:lastRenderedPageBreak/>
        <w:t>Table des matières</w:t>
      </w:r>
    </w:p>
    <w:p w14:paraId="5794659C" w14:textId="77777777" w:rsidR="00ED79EC" w:rsidRDefault="00ED79EC">
      <w:pPr>
        <w:pStyle w:val="TM1"/>
        <w:tabs>
          <w:tab w:val="right" w:leader="dot" w:pos="8488"/>
        </w:tabs>
        <w:rPr>
          <w:b w:val="0"/>
          <w:noProof/>
          <w:sz w:val="24"/>
          <w:szCs w:val="24"/>
          <w:lang w:eastAsia="ja-JP"/>
        </w:rPr>
      </w:pPr>
      <w:r>
        <w:rPr>
          <w:b w:val="0"/>
          <w:i/>
        </w:rPr>
        <w:fldChar w:fldCharType="begin"/>
      </w:r>
      <w:r>
        <w:rPr>
          <w:b w:val="0"/>
          <w:i/>
        </w:rPr>
        <w:instrText xml:space="preserve"> TOC \o "1-4" </w:instrText>
      </w:r>
      <w:r>
        <w:rPr>
          <w:b w:val="0"/>
          <w:i/>
        </w:rPr>
        <w:fldChar w:fldCharType="separate"/>
      </w:r>
      <w:r>
        <w:rPr>
          <w:noProof/>
        </w:rPr>
        <w:t>Introduction</w:t>
      </w:r>
      <w:r>
        <w:rPr>
          <w:noProof/>
        </w:rPr>
        <w:tab/>
      </w:r>
      <w:r>
        <w:rPr>
          <w:noProof/>
        </w:rPr>
        <w:fldChar w:fldCharType="begin"/>
      </w:r>
      <w:r>
        <w:rPr>
          <w:noProof/>
        </w:rPr>
        <w:instrText xml:space="preserve"> PAGEREF _Toc360458868 \h </w:instrText>
      </w:r>
      <w:r>
        <w:rPr>
          <w:noProof/>
        </w:rPr>
      </w:r>
      <w:r>
        <w:rPr>
          <w:noProof/>
        </w:rPr>
        <w:fldChar w:fldCharType="separate"/>
      </w:r>
      <w:r>
        <w:rPr>
          <w:noProof/>
        </w:rPr>
        <w:t>3</w:t>
      </w:r>
      <w:r>
        <w:rPr>
          <w:noProof/>
        </w:rPr>
        <w:fldChar w:fldCharType="end"/>
      </w:r>
    </w:p>
    <w:p w14:paraId="730AEAD5" w14:textId="77777777" w:rsidR="00ED79EC" w:rsidRDefault="00ED79EC">
      <w:pPr>
        <w:pStyle w:val="TM1"/>
        <w:tabs>
          <w:tab w:val="left" w:pos="652"/>
          <w:tab w:val="right" w:leader="dot" w:pos="8488"/>
        </w:tabs>
        <w:rPr>
          <w:b w:val="0"/>
          <w:noProof/>
          <w:sz w:val="24"/>
          <w:szCs w:val="24"/>
          <w:lang w:eastAsia="ja-JP"/>
        </w:rPr>
      </w:pPr>
      <w:r>
        <w:rPr>
          <w:noProof/>
        </w:rPr>
        <w:t>I.</w:t>
      </w:r>
      <w:r>
        <w:rPr>
          <w:b w:val="0"/>
          <w:noProof/>
          <w:sz w:val="24"/>
          <w:szCs w:val="24"/>
          <w:lang w:eastAsia="ja-JP"/>
        </w:rPr>
        <w:tab/>
      </w:r>
      <w:r>
        <w:rPr>
          <w:noProof/>
        </w:rPr>
        <w:t>Un débat scientifique qui fait l’objet d’appropriations politiques déformantes</w:t>
      </w:r>
      <w:r>
        <w:rPr>
          <w:noProof/>
        </w:rPr>
        <w:tab/>
      </w:r>
      <w:r>
        <w:rPr>
          <w:noProof/>
        </w:rPr>
        <w:fldChar w:fldCharType="begin"/>
      </w:r>
      <w:r>
        <w:rPr>
          <w:noProof/>
        </w:rPr>
        <w:instrText xml:space="preserve"> PAGEREF _Toc360458869 \h </w:instrText>
      </w:r>
      <w:r>
        <w:rPr>
          <w:noProof/>
        </w:rPr>
      </w:r>
      <w:r>
        <w:rPr>
          <w:noProof/>
        </w:rPr>
        <w:fldChar w:fldCharType="separate"/>
      </w:r>
      <w:r>
        <w:rPr>
          <w:noProof/>
        </w:rPr>
        <w:t>5</w:t>
      </w:r>
      <w:r>
        <w:rPr>
          <w:noProof/>
        </w:rPr>
        <w:fldChar w:fldCharType="end"/>
      </w:r>
    </w:p>
    <w:p w14:paraId="04DFF36E" w14:textId="77777777" w:rsidR="00ED79EC" w:rsidRDefault="00ED79EC">
      <w:pPr>
        <w:pStyle w:val="TM2"/>
        <w:tabs>
          <w:tab w:val="left" w:pos="937"/>
          <w:tab w:val="right" w:leader="dot" w:pos="8488"/>
        </w:tabs>
        <w:rPr>
          <w:i w:val="0"/>
          <w:noProof/>
          <w:sz w:val="24"/>
          <w:szCs w:val="24"/>
          <w:lang w:eastAsia="ja-JP"/>
        </w:rPr>
      </w:pPr>
      <w:r>
        <w:rPr>
          <w:noProof/>
        </w:rPr>
        <w:t>A.</w:t>
      </w:r>
      <w:r>
        <w:rPr>
          <w:i w:val="0"/>
          <w:noProof/>
          <w:sz w:val="24"/>
          <w:szCs w:val="24"/>
          <w:lang w:eastAsia="ja-JP"/>
        </w:rPr>
        <w:tab/>
      </w:r>
      <w:r>
        <w:rPr>
          <w:noProof/>
        </w:rPr>
        <w:t>Glyphosate : des expertises ne faisant pas apparaître risque pour la santé</w:t>
      </w:r>
      <w:r>
        <w:rPr>
          <w:noProof/>
        </w:rPr>
        <w:tab/>
      </w:r>
      <w:r>
        <w:rPr>
          <w:noProof/>
        </w:rPr>
        <w:fldChar w:fldCharType="begin"/>
      </w:r>
      <w:r>
        <w:rPr>
          <w:noProof/>
        </w:rPr>
        <w:instrText xml:space="preserve"> PAGEREF _Toc360458870 \h </w:instrText>
      </w:r>
      <w:r>
        <w:rPr>
          <w:noProof/>
        </w:rPr>
      </w:r>
      <w:r>
        <w:rPr>
          <w:noProof/>
        </w:rPr>
        <w:fldChar w:fldCharType="separate"/>
      </w:r>
      <w:r>
        <w:rPr>
          <w:noProof/>
        </w:rPr>
        <w:t>5</w:t>
      </w:r>
      <w:r>
        <w:rPr>
          <w:noProof/>
        </w:rPr>
        <w:fldChar w:fldCharType="end"/>
      </w:r>
    </w:p>
    <w:p w14:paraId="1E8A74CA" w14:textId="77777777" w:rsidR="00ED79EC" w:rsidRDefault="00ED79EC">
      <w:pPr>
        <w:pStyle w:val="TM3"/>
        <w:tabs>
          <w:tab w:val="left" w:pos="1171"/>
          <w:tab w:val="right" w:leader="dot" w:pos="8488"/>
        </w:tabs>
        <w:rPr>
          <w:noProof/>
          <w:sz w:val="24"/>
          <w:szCs w:val="24"/>
          <w:lang w:eastAsia="ja-JP"/>
        </w:rPr>
      </w:pPr>
      <w:r>
        <w:rPr>
          <w:noProof/>
        </w:rPr>
        <w:t>1.</w:t>
      </w:r>
      <w:r>
        <w:rPr>
          <w:noProof/>
          <w:sz w:val="24"/>
          <w:szCs w:val="24"/>
          <w:lang w:eastAsia="ja-JP"/>
        </w:rPr>
        <w:tab/>
      </w:r>
      <w:r>
        <w:rPr>
          <w:noProof/>
        </w:rPr>
        <w:t>Une procédure stricte pour la mise sur le marché</w:t>
      </w:r>
      <w:r>
        <w:rPr>
          <w:noProof/>
        </w:rPr>
        <w:tab/>
      </w:r>
      <w:r>
        <w:rPr>
          <w:noProof/>
        </w:rPr>
        <w:fldChar w:fldCharType="begin"/>
      </w:r>
      <w:r>
        <w:rPr>
          <w:noProof/>
        </w:rPr>
        <w:instrText xml:space="preserve"> PAGEREF _Toc360458871 \h </w:instrText>
      </w:r>
      <w:r>
        <w:rPr>
          <w:noProof/>
        </w:rPr>
      </w:r>
      <w:r>
        <w:rPr>
          <w:noProof/>
        </w:rPr>
        <w:fldChar w:fldCharType="separate"/>
      </w:r>
      <w:r>
        <w:rPr>
          <w:noProof/>
        </w:rPr>
        <w:t>5</w:t>
      </w:r>
      <w:r>
        <w:rPr>
          <w:noProof/>
        </w:rPr>
        <w:fldChar w:fldCharType="end"/>
      </w:r>
    </w:p>
    <w:p w14:paraId="40AF3B34" w14:textId="77777777" w:rsidR="00ED79EC" w:rsidRDefault="00ED79EC">
      <w:pPr>
        <w:pStyle w:val="TM3"/>
        <w:tabs>
          <w:tab w:val="left" w:pos="1171"/>
          <w:tab w:val="right" w:leader="dot" w:pos="8488"/>
        </w:tabs>
        <w:rPr>
          <w:noProof/>
          <w:sz w:val="24"/>
          <w:szCs w:val="24"/>
          <w:lang w:eastAsia="ja-JP"/>
        </w:rPr>
      </w:pPr>
      <w:r>
        <w:rPr>
          <w:noProof/>
        </w:rPr>
        <w:t>2.</w:t>
      </w:r>
      <w:r>
        <w:rPr>
          <w:noProof/>
          <w:sz w:val="24"/>
          <w:szCs w:val="24"/>
          <w:lang w:eastAsia="ja-JP"/>
        </w:rPr>
        <w:tab/>
      </w:r>
      <w:r>
        <w:rPr>
          <w:noProof/>
        </w:rPr>
        <w:t xml:space="preserve">Les avis des agences compétentes concernant le </w:t>
      </w:r>
      <w:r w:rsidRPr="00E57AA9">
        <w:rPr>
          <w:rFonts w:ascii="Corbel" w:hAnsi="Corbel"/>
          <w:noProof/>
        </w:rPr>
        <w:t>glyphosate</w:t>
      </w:r>
      <w:r>
        <w:rPr>
          <w:noProof/>
        </w:rPr>
        <w:tab/>
      </w:r>
      <w:r>
        <w:rPr>
          <w:noProof/>
        </w:rPr>
        <w:fldChar w:fldCharType="begin"/>
      </w:r>
      <w:r>
        <w:rPr>
          <w:noProof/>
        </w:rPr>
        <w:instrText xml:space="preserve"> PAGEREF _Toc360458872 \h </w:instrText>
      </w:r>
      <w:r>
        <w:rPr>
          <w:noProof/>
        </w:rPr>
      </w:r>
      <w:r>
        <w:rPr>
          <w:noProof/>
        </w:rPr>
        <w:fldChar w:fldCharType="separate"/>
      </w:r>
      <w:r>
        <w:rPr>
          <w:noProof/>
        </w:rPr>
        <w:t>6</w:t>
      </w:r>
      <w:r>
        <w:rPr>
          <w:noProof/>
        </w:rPr>
        <w:fldChar w:fldCharType="end"/>
      </w:r>
    </w:p>
    <w:p w14:paraId="1D7F2138" w14:textId="77777777" w:rsidR="00ED79EC" w:rsidRDefault="00ED79EC">
      <w:pPr>
        <w:pStyle w:val="TM2"/>
        <w:tabs>
          <w:tab w:val="left" w:pos="939"/>
          <w:tab w:val="right" w:leader="dot" w:pos="8488"/>
        </w:tabs>
        <w:rPr>
          <w:i w:val="0"/>
          <w:noProof/>
          <w:sz w:val="24"/>
          <w:szCs w:val="24"/>
          <w:lang w:eastAsia="ja-JP"/>
        </w:rPr>
      </w:pPr>
      <w:r>
        <w:rPr>
          <w:noProof/>
        </w:rPr>
        <w:t>B.</w:t>
      </w:r>
      <w:r>
        <w:rPr>
          <w:i w:val="0"/>
          <w:noProof/>
          <w:sz w:val="24"/>
          <w:szCs w:val="24"/>
          <w:lang w:eastAsia="ja-JP"/>
        </w:rPr>
        <w:tab/>
      </w:r>
      <w:r>
        <w:rPr>
          <w:noProof/>
        </w:rPr>
        <w:t>Un débat politique et social insuffisamment apaisé en France</w:t>
      </w:r>
      <w:r>
        <w:rPr>
          <w:noProof/>
        </w:rPr>
        <w:tab/>
      </w:r>
      <w:r>
        <w:rPr>
          <w:noProof/>
        </w:rPr>
        <w:fldChar w:fldCharType="begin"/>
      </w:r>
      <w:r>
        <w:rPr>
          <w:noProof/>
        </w:rPr>
        <w:instrText xml:space="preserve"> PAGEREF _Toc360458873 \h </w:instrText>
      </w:r>
      <w:r>
        <w:rPr>
          <w:noProof/>
        </w:rPr>
      </w:r>
      <w:r>
        <w:rPr>
          <w:noProof/>
        </w:rPr>
        <w:fldChar w:fldCharType="separate"/>
      </w:r>
      <w:r>
        <w:rPr>
          <w:noProof/>
        </w:rPr>
        <w:t>7</w:t>
      </w:r>
      <w:r>
        <w:rPr>
          <w:noProof/>
        </w:rPr>
        <w:fldChar w:fldCharType="end"/>
      </w:r>
    </w:p>
    <w:p w14:paraId="312A2754" w14:textId="77777777" w:rsidR="00ED79EC" w:rsidRDefault="00ED79EC">
      <w:pPr>
        <w:pStyle w:val="TM3"/>
        <w:tabs>
          <w:tab w:val="left" w:pos="1171"/>
          <w:tab w:val="right" w:leader="dot" w:pos="8488"/>
        </w:tabs>
        <w:rPr>
          <w:noProof/>
          <w:sz w:val="24"/>
          <w:szCs w:val="24"/>
          <w:lang w:eastAsia="ja-JP"/>
        </w:rPr>
      </w:pPr>
      <w:r>
        <w:rPr>
          <w:noProof/>
        </w:rPr>
        <w:t>1.</w:t>
      </w:r>
      <w:r>
        <w:rPr>
          <w:noProof/>
          <w:sz w:val="24"/>
          <w:szCs w:val="24"/>
          <w:lang w:eastAsia="ja-JP"/>
        </w:rPr>
        <w:tab/>
      </w:r>
      <w:r>
        <w:rPr>
          <w:noProof/>
        </w:rPr>
        <w:t>Un débat qui existe dans la plupart des pays européens</w:t>
      </w:r>
      <w:r>
        <w:rPr>
          <w:noProof/>
        </w:rPr>
        <w:tab/>
      </w:r>
      <w:r>
        <w:rPr>
          <w:noProof/>
        </w:rPr>
        <w:fldChar w:fldCharType="begin"/>
      </w:r>
      <w:r>
        <w:rPr>
          <w:noProof/>
        </w:rPr>
        <w:instrText xml:space="preserve"> PAGEREF _Toc360458874 \h </w:instrText>
      </w:r>
      <w:r>
        <w:rPr>
          <w:noProof/>
        </w:rPr>
      </w:r>
      <w:r>
        <w:rPr>
          <w:noProof/>
        </w:rPr>
        <w:fldChar w:fldCharType="separate"/>
      </w:r>
      <w:r>
        <w:rPr>
          <w:noProof/>
        </w:rPr>
        <w:t>8</w:t>
      </w:r>
      <w:r>
        <w:rPr>
          <w:noProof/>
        </w:rPr>
        <w:fldChar w:fldCharType="end"/>
      </w:r>
    </w:p>
    <w:p w14:paraId="39338E05" w14:textId="77777777" w:rsidR="00ED79EC" w:rsidRDefault="00ED79EC">
      <w:pPr>
        <w:pStyle w:val="TM3"/>
        <w:tabs>
          <w:tab w:val="left" w:pos="1171"/>
          <w:tab w:val="right" w:leader="dot" w:pos="8488"/>
        </w:tabs>
        <w:rPr>
          <w:noProof/>
          <w:sz w:val="24"/>
          <w:szCs w:val="24"/>
          <w:lang w:eastAsia="ja-JP"/>
        </w:rPr>
      </w:pPr>
      <w:r>
        <w:rPr>
          <w:noProof/>
        </w:rPr>
        <w:t>2.</w:t>
      </w:r>
      <w:r>
        <w:rPr>
          <w:noProof/>
          <w:sz w:val="24"/>
          <w:szCs w:val="24"/>
          <w:lang w:eastAsia="ja-JP"/>
        </w:rPr>
        <w:tab/>
      </w:r>
      <w:r>
        <w:rPr>
          <w:noProof/>
        </w:rPr>
        <w:t>Le développement préoccupant d’une idéologie anti-scientifique</w:t>
      </w:r>
      <w:r>
        <w:rPr>
          <w:noProof/>
        </w:rPr>
        <w:tab/>
      </w:r>
      <w:r>
        <w:rPr>
          <w:noProof/>
        </w:rPr>
        <w:fldChar w:fldCharType="begin"/>
      </w:r>
      <w:r>
        <w:rPr>
          <w:noProof/>
        </w:rPr>
        <w:instrText xml:space="preserve"> PAGEREF _Toc360458875 \h </w:instrText>
      </w:r>
      <w:r>
        <w:rPr>
          <w:noProof/>
        </w:rPr>
      </w:r>
      <w:r>
        <w:rPr>
          <w:noProof/>
        </w:rPr>
        <w:fldChar w:fldCharType="separate"/>
      </w:r>
      <w:r>
        <w:rPr>
          <w:noProof/>
        </w:rPr>
        <w:t>8</w:t>
      </w:r>
      <w:r>
        <w:rPr>
          <w:noProof/>
        </w:rPr>
        <w:fldChar w:fldCharType="end"/>
      </w:r>
    </w:p>
    <w:p w14:paraId="09DC1AC1" w14:textId="77777777" w:rsidR="00ED79EC" w:rsidRDefault="00ED79EC">
      <w:pPr>
        <w:pStyle w:val="TM1"/>
        <w:tabs>
          <w:tab w:val="left" w:pos="729"/>
          <w:tab w:val="right" w:leader="dot" w:pos="8488"/>
        </w:tabs>
        <w:rPr>
          <w:b w:val="0"/>
          <w:noProof/>
          <w:sz w:val="24"/>
          <w:szCs w:val="24"/>
          <w:lang w:eastAsia="ja-JP"/>
        </w:rPr>
      </w:pPr>
      <w:r>
        <w:rPr>
          <w:noProof/>
        </w:rPr>
        <w:t>II.</w:t>
      </w:r>
      <w:r>
        <w:rPr>
          <w:b w:val="0"/>
          <w:noProof/>
          <w:sz w:val="24"/>
          <w:szCs w:val="24"/>
          <w:lang w:eastAsia="ja-JP"/>
        </w:rPr>
        <w:tab/>
      </w:r>
      <w:r>
        <w:rPr>
          <w:noProof/>
        </w:rPr>
        <w:t>Une interdiction du glyphosate aux lourdes conséquences</w:t>
      </w:r>
      <w:r>
        <w:rPr>
          <w:noProof/>
        </w:rPr>
        <w:tab/>
      </w:r>
      <w:r>
        <w:rPr>
          <w:noProof/>
        </w:rPr>
        <w:fldChar w:fldCharType="begin"/>
      </w:r>
      <w:r>
        <w:rPr>
          <w:noProof/>
        </w:rPr>
        <w:instrText xml:space="preserve"> PAGEREF _Toc360458876 \h </w:instrText>
      </w:r>
      <w:r>
        <w:rPr>
          <w:noProof/>
        </w:rPr>
      </w:r>
      <w:r>
        <w:rPr>
          <w:noProof/>
        </w:rPr>
        <w:fldChar w:fldCharType="separate"/>
      </w:r>
      <w:r>
        <w:rPr>
          <w:noProof/>
        </w:rPr>
        <w:t>10</w:t>
      </w:r>
      <w:r>
        <w:rPr>
          <w:noProof/>
        </w:rPr>
        <w:fldChar w:fldCharType="end"/>
      </w:r>
    </w:p>
    <w:p w14:paraId="5BFB15C9" w14:textId="77777777" w:rsidR="00ED79EC" w:rsidRDefault="00ED79EC">
      <w:pPr>
        <w:pStyle w:val="TM2"/>
        <w:tabs>
          <w:tab w:val="left" w:pos="937"/>
          <w:tab w:val="right" w:leader="dot" w:pos="8488"/>
        </w:tabs>
        <w:rPr>
          <w:i w:val="0"/>
          <w:noProof/>
          <w:sz w:val="24"/>
          <w:szCs w:val="24"/>
          <w:lang w:eastAsia="ja-JP"/>
        </w:rPr>
      </w:pPr>
      <w:r>
        <w:rPr>
          <w:noProof/>
        </w:rPr>
        <w:t>A.</w:t>
      </w:r>
      <w:r>
        <w:rPr>
          <w:i w:val="0"/>
          <w:noProof/>
          <w:sz w:val="24"/>
          <w:szCs w:val="24"/>
          <w:lang w:eastAsia="ja-JP"/>
        </w:rPr>
        <w:tab/>
      </w:r>
      <w:r>
        <w:rPr>
          <w:noProof/>
        </w:rPr>
        <w:t>Un coût économique et environnemental démesuré pour les agriculteurs</w:t>
      </w:r>
      <w:r>
        <w:rPr>
          <w:noProof/>
        </w:rPr>
        <w:tab/>
      </w:r>
      <w:r>
        <w:rPr>
          <w:noProof/>
        </w:rPr>
        <w:fldChar w:fldCharType="begin"/>
      </w:r>
      <w:r>
        <w:rPr>
          <w:noProof/>
        </w:rPr>
        <w:instrText xml:space="preserve"> PAGEREF _Toc360458877 \h </w:instrText>
      </w:r>
      <w:r>
        <w:rPr>
          <w:noProof/>
        </w:rPr>
      </w:r>
      <w:r>
        <w:rPr>
          <w:noProof/>
        </w:rPr>
        <w:fldChar w:fldCharType="separate"/>
      </w:r>
      <w:r>
        <w:rPr>
          <w:noProof/>
        </w:rPr>
        <w:t>10</w:t>
      </w:r>
      <w:r>
        <w:rPr>
          <w:noProof/>
        </w:rPr>
        <w:fldChar w:fldCharType="end"/>
      </w:r>
    </w:p>
    <w:p w14:paraId="4A7F9849" w14:textId="77777777" w:rsidR="00ED79EC" w:rsidRDefault="00ED79EC">
      <w:pPr>
        <w:pStyle w:val="TM3"/>
        <w:tabs>
          <w:tab w:val="left" w:pos="1171"/>
          <w:tab w:val="right" w:leader="dot" w:pos="8488"/>
        </w:tabs>
        <w:rPr>
          <w:noProof/>
          <w:sz w:val="24"/>
          <w:szCs w:val="24"/>
          <w:lang w:eastAsia="ja-JP"/>
        </w:rPr>
      </w:pPr>
      <w:r>
        <w:rPr>
          <w:noProof/>
        </w:rPr>
        <w:t>1.</w:t>
      </w:r>
      <w:r>
        <w:rPr>
          <w:noProof/>
          <w:sz w:val="24"/>
          <w:szCs w:val="24"/>
          <w:lang w:eastAsia="ja-JP"/>
        </w:rPr>
        <w:tab/>
      </w:r>
      <w:r>
        <w:rPr>
          <w:noProof/>
        </w:rPr>
        <w:t>Des alternatives au glyphosate particulièrement coûteuses pour l’agriculture</w:t>
      </w:r>
      <w:r>
        <w:rPr>
          <w:noProof/>
        </w:rPr>
        <w:tab/>
      </w:r>
      <w:r>
        <w:rPr>
          <w:noProof/>
        </w:rPr>
        <w:fldChar w:fldCharType="begin"/>
      </w:r>
      <w:r>
        <w:rPr>
          <w:noProof/>
        </w:rPr>
        <w:instrText xml:space="preserve"> PAGEREF _Toc360458878 \h </w:instrText>
      </w:r>
      <w:r>
        <w:rPr>
          <w:noProof/>
        </w:rPr>
      </w:r>
      <w:r>
        <w:rPr>
          <w:noProof/>
        </w:rPr>
        <w:fldChar w:fldCharType="separate"/>
      </w:r>
      <w:r>
        <w:rPr>
          <w:noProof/>
        </w:rPr>
        <w:t>10</w:t>
      </w:r>
      <w:r>
        <w:rPr>
          <w:noProof/>
        </w:rPr>
        <w:fldChar w:fldCharType="end"/>
      </w:r>
    </w:p>
    <w:p w14:paraId="1C020150" w14:textId="77777777" w:rsidR="00ED79EC" w:rsidRDefault="00ED79EC">
      <w:pPr>
        <w:pStyle w:val="TM3"/>
        <w:tabs>
          <w:tab w:val="left" w:pos="1171"/>
          <w:tab w:val="right" w:leader="dot" w:pos="8488"/>
        </w:tabs>
        <w:rPr>
          <w:noProof/>
          <w:sz w:val="24"/>
          <w:szCs w:val="24"/>
          <w:lang w:eastAsia="ja-JP"/>
        </w:rPr>
      </w:pPr>
      <w:r>
        <w:rPr>
          <w:noProof/>
        </w:rPr>
        <w:t>2.</w:t>
      </w:r>
      <w:r>
        <w:rPr>
          <w:noProof/>
          <w:sz w:val="24"/>
          <w:szCs w:val="24"/>
          <w:lang w:eastAsia="ja-JP"/>
        </w:rPr>
        <w:tab/>
      </w:r>
      <w:r>
        <w:rPr>
          <w:noProof/>
        </w:rPr>
        <w:t>De nombreux risques associés à une interdiction, y compris sanitaires et environnementaux</w:t>
      </w:r>
      <w:r>
        <w:rPr>
          <w:noProof/>
        </w:rPr>
        <w:tab/>
      </w:r>
      <w:r>
        <w:rPr>
          <w:noProof/>
        </w:rPr>
        <w:fldChar w:fldCharType="begin"/>
      </w:r>
      <w:r>
        <w:rPr>
          <w:noProof/>
        </w:rPr>
        <w:instrText xml:space="preserve"> PAGEREF _Toc360458879 \h </w:instrText>
      </w:r>
      <w:r>
        <w:rPr>
          <w:noProof/>
        </w:rPr>
      </w:r>
      <w:r>
        <w:rPr>
          <w:noProof/>
        </w:rPr>
        <w:fldChar w:fldCharType="separate"/>
      </w:r>
      <w:r>
        <w:rPr>
          <w:noProof/>
        </w:rPr>
        <w:t>11</w:t>
      </w:r>
      <w:r>
        <w:rPr>
          <w:noProof/>
        </w:rPr>
        <w:fldChar w:fldCharType="end"/>
      </w:r>
    </w:p>
    <w:p w14:paraId="13F916E8" w14:textId="77777777" w:rsidR="00ED79EC" w:rsidRDefault="00ED79EC">
      <w:pPr>
        <w:pStyle w:val="TM4"/>
        <w:tabs>
          <w:tab w:val="left" w:pos="1395"/>
          <w:tab w:val="right" w:leader="dot" w:pos="8488"/>
        </w:tabs>
        <w:rPr>
          <w:noProof/>
          <w:sz w:val="24"/>
          <w:szCs w:val="24"/>
          <w:lang w:eastAsia="ja-JP"/>
        </w:rPr>
      </w:pPr>
      <w:r w:rsidRPr="00E57AA9">
        <w:rPr>
          <w:rFonts w:ascii="Corbel" w:hAnsi="Corbel"/>
          <w:noProof/>
        </w:rPr>
        <w:t>a.</w:t>
      </w:r>
      <w:r>
        <w:rPr>
          <w:noProof/>
          <w:sz w:val="24"/>
          <w:szCs w:val="24"/>
          <w:lang w:eastAsia="ja-JP"/>
        </w:rPr>
        <w:tab/>
      </w:r>
      <w:r w:rsidRPr="00E57AA9">
        <w:rPr>
          <w:rFonts w:ascii="Corbel" w:hAnsi="Corbel"/>
          <w:noProof/>
        </w:rPr>
        <w:t>Des techniques de substitution potentiellement plus dangereuses pour l’environnement et la santé</w:t>
      </w:r>
      <w:r>
        <w:rPr>
          <w:noProof/>
        </w:rPr>
        <w:tab/>
      </w:r>
      <w:r>
        <w:rPr>
          <w:noProof/>
        </w:rPr>
        <w:fldChar w:fldCharType="begin"/>
      </w:r>
      <w:r>
        <w:rPr>
          <w:noProof/>
        </w:rPr>
        <w:instrText xml:space="preserve"> PAGEREF _Toc360458880 \h </w:instrText>
      </w:r>
      <w:r>
        <w:rPr>
          <w:noProof/>
        </w:rPr>
      </w:r>
      <w:r>
        <w:rPr>
          <w:noProof/>
        </w:rPr>
        <w:fldChar w:fldCharType="separate"/>
      </w:r>
      <w:r>
        <w:rPr>
          <w:noProof/>
        </w:rPr>
        <w:t>11</w:t>
      </w:r>
      <w:r>
        <w:rPr>
          <w:noProof/>
        </w:rPr>
        <w:fldChar w:fldCharType="end"/>
      </w:r>
    </w:p>
    <w:p w14:paraId="55F088A3" w14:textId="77777777" w:rsidR="00ED79EC" w:rsidRDefault="00ED79EC">
      <w:pPr>
        <w:pStyle w:val="TM4"/>
        <w:tabs>
          <w:tab w:val="left" w:pos="1394"/>
          <w:tab w:val="right" w:leader="dot" w:pos="8488"/>
        </w:tabs>
        <w:rPr>
          <w:noProof/>
          <w:sz w:val="24"/>
          <w:szCs w:val="24"/>
          <w:lang w:eastAsia="ja-JP"/>
        </w:rPr>
      </w:pPr>
      <w:r w:rsidRPr="00E57AA9">
        <w:rPr>
          <w:noProof/>
        </w:rPr>
        <w:t>b.</w:t>
      </w:r>
      <w:r>
        <w:rPr>
          <w:noProof/>
          <w:sz w:val="24"/>
          <w:szCs w:val="24"/>
          <w:lang w:eastAsia="ja-JP"/>
        </w:rPr>
        <w:tab/>
      </w:r>
      <w:r>
        <w:rPr>
          <w:noProof/>
        </w:rPr>
        <w:t>Le coût économique d’une disparition du glyphosate : 975 milliards d’euros en fourchette basse</w:t>
      </w:r>
      <w:r>
        <w:rPr>
          <w:noProof/>
        </w:rPr>
        <w:tab/>
      </w:r>
      <w:r>
        <w:rPr>
          <w:noProof/>
        </w:rPr>
        <w:fldChar w:fldCharType="begin"/>
      </w:r>
      <w:r>
        <w:rPr>
          <w:noProof/>
        </w:rPr>
        <w:instrText xml:space="preserve"> PAGEREF _Toc360458881 \h </w:instrText>
      </w:r>
      <w:r>
        <w:rPr>
          <w:noProof/>
        </w:rPr>
      </w:r>
      <w:r>
        <w:rPr>
          <w:noProof/>
        </w:rPr>
        <w:fldChar w:fldCharType="separate"/>
      </w:r>
      <w:r>
        <w:rPr>
          <w:noProof/>
        </w:rPr>
        <w:t>11</w:t>
      </w:r>
      <w:r>
        <w:rPr>
          <w:noProof/>
        </w:rPr>
        <w:fldChar w:fldCharType="end"/>
      </w:r>
    </w:p>
    <w:p w14:paraId="07B6C490" w14:textId="77777777" w:rsidR="00ED79EC" w:rsidRDefault="00ED79EC">
      <w:pPr>
        <w:pStyle w:val="TM4"/>
        <w:tabs>
          <w:tab w:val="left" w:pos="1385"/>
          <w:tab w:val="right" w:leader="dot" w:pos="8488"/>
        </w:tabs>
        <w:rPr>
          <w:noProof/>
          <w:sz w:val="24"/>
          <w:szCs w:val="24"/>
          <w:lang w:eastAsia="ja-JP"/>
        </w:rPr>
      </w:pPr>
      <w:r w:rsidRPr="00E57AA9">
        <w:rPr>
          <w:rFonts w:ascii="Corbel" w:hAnsi="Corbel"/>
          <w:noProof/>
        </w:rPr>
        <w:t>c.</w:t>
      </w:r>
      <w:r>
        <w:rPr>
          <w:noProof/>
          <w:sz w:val="24"/>
          <w:szCs w:val="24"/>
          <w:lang w:eastAsia="ja-JP"/>
        </w:rPr>
        <w:tab/>
      </w:r>
      <w:r w:rsidRPr="00E57AA9">
        <w:rPr>
          <w:rFonts w:ascii="Corbel" w:hAnsi="Corbel"/>
          <w:noProof/>
        </w:rPr>
        <w:t>L’aménagement du territoire déséquilibré</w:t>
      </w:r>
      <w:r>
        <w:rPr>
          <w:noProof/>
        </w:rPr>
        <w:tab/>
      </w:r>
      <w:r>
        <w:rPr>
          <w:noProof/>
        </w:rPr>
        <w:fldChar w:fldCharType="begin"/>
      </w:r>
      <w:r>
        <w:rPr>
          <w:noProof/>
        </w:rPr>
        <w:instrText xml:space="preserve"> PAGEREF _Toc360458882 \h </w:instrText>
      </w:r>
      <w:r>
        <w:rPr>
          <w:noProof/>
        </w:rPr>
      </w:r>
      <w:r>
        <w:rPr>
          <w:noProof/>
        </w:rPr>
        <w:fldChar w:fldCharType="separate"/>
      </w:r>
      <w:r>
        <w:rPr>
          <w:noProof/>
        </w:rPr>
        <w:t>13</w:t>
      </w:r>
      <w:r>
        <w:rPr>
          <w:noProof/>
        </w:rPr>
        <w:fldChar w:fldCharType="end"/>
      </w:r>
    </w:p>
    <w:p w14:paraId="099F78A5" w14:textId="77777777" w:rsidR="00ED79EC" w:rsidRDefault="00ED79EC">
      <w:pPr>
        <w:pStyle w:val="TM4"/>
        <w:tabs>
          <w:tab w:val="left" w:pos="1404"/>
          <w:tab w:val="right" w:leader="dot" w:pos="8488"/>
        </w:tabs>
        <w:rPr>
          <w:noProof/>
          <w:sz w:val="24"/>
          <w:szCs w:val="24"/>
          <w:lang w:eastAsia="ja-JP"/>
        </w:rPr>
      </w:pPr>
      <w:r w:rsidRPr="00E57AA9">
        <w:rPr>
          <w:rFonts w:ascii="Corbel" w:hAnsi="Corbel"/>
          <w:noProof/>
        </w:rPr>
        <w:t>d.</w:t>
      </w:r>
      <w:r>
        <w:rPr>
          <w:noProof/>
          <w:sz w:val="24"/>
          <w:szCs w:val="24"/>
          <w:lang w:eastAsia="ja-JP"/>
        </w:rPr>
        <w:tab/>
      </w:r>
      <w:r w:rsidRPr="00E57AA9">
        <w:rPr>
          <w:rFonts w:ascii="Corbel" w:hAnsi="Corbel"/>
          <w:noProof/>
        </w:rPr>
        <w:t>Une crédibilité des agences gravement remise en cause</w:t>
      </w:r>
      <w:r>
        <w:rPr>
          <w:noProof/>
        </w:rPr>
        <w:tab/>
      </w:r>
      <w:r>
        <w:rPr>
          <w:noProof/>
        </w:rPr>
        <w:fldChar w:fldCharType="begin"/>
      </w:r>
      <w:r>
        <w:rPr>
          <w:noProof/>
        </w:rPr>
        <w:instrText xml:space="preserve"> PAGEREF _Toc360458883 \h </w:instrText>
      </w:r>
      <w:r>
        <w:rPr>
          <w:noProof/>
        </w:rPr>
      </w:r>
      <w:r>
        <w:rPr>
          <w:noProof/>
        </w:rPr>
        <w:fldChar w:fldCharType="separate"/>
      </w:r>
      <w:r>
        <w:rPr>
          <w:noProof/>
        </w:rPr>
        <w:t>13</w:t>
      </w:r>
      <w:r>
        <w:rPr>
          <w:noProof/>
        </w:rPr>
        <w:fldChar w:fldCharType="end"/>
      </w:r>
    </w:p>
    <w:p w14:paraId="45E40B7C" w14:textId="77777777" w:rsidR="00ED79EC" w:rsidRDefault="00ED79EC">
      <w:pPr>
        <w:pStyle w:val="TM2"/>
        <w:tabs>
          <w:tab w:val="left" w:pos="939"/>
          <w:tab w:val="right" w:leader="dot" w:pos="8488"/>
        </w:tabs>
        <w:rPr>
          <w:i w:val="0"/>
          <w:noProof/>
          <w:sz w:val="24"/>
          <w:szCs w:val="24"/>
          <w:lang w:eastAsia="ja-JP"/>
        </w:rPr>
      </w:pPr>
      <w:r>
        <w:rPr>
          <w:noProof/>
        </w:rPr>
        <w:t>B.</w:t>
      </w:r>
      <w:r>
        <w:rPr>
          <w:i w:val="0"/>
          <w:noProof/>
          <w:sz w:val="24"/>
          <w:szCs w:val="24"/>
          <w:lang w:eastAsia="ja-JP"/>
        </w:rPr>
        <w:tab/>
      </w:r>
      <w:r>
        <w:rPr>
          <w:noProof/>
        </w:rPr>
        <w:t>Un enjeu majeur pour l’entretien des espaces publics : l’exemple de la SNCF</w:t>
      </w:r>
      <w:r>
        <w:rPr>
          <w:noProof/>
        </w:rPr>
        <w:tab/>
      </w:r>
      <w:r>
        <w:rPr>
          <w:noProof/>
        </w:rPr>
        <w:fldChar w:fldCharType="begin"/>
      </w:r>
      <w:r>
        <w:rPr>
          <w:noProof/>
        </w:rPr>
        <w:instrText xml:space="preserve"> PAGEREF _Toc360458884 \h </w:instrText>
      </w:r>
      <w:r>
        <w:rPr>
          <w:noProof/>
        </w:rPr>
      </w:r>
      <w:r>
        <w:rPr>
          <w:noProof/>
        </w:rPr>
        <w:fldChar w:fldCharType="separate"/>
      </w:r>
      <w:r>
        <w:rPr>
          <w:noProof/>
        </w:rPr>
        <w:t>13</w:t>
      </w:r>
      <w:r>
        <w:rPr>
          <w:noProof/>
        </w:rPr>
        <w:fldChar w:fldCharType="end"/>
      </w:r>
    </w:p>
    <w:p w14:paraId="58998111" w14:textId="77777777" w:rsidR="00ED79EC" w:rsidRDefault="00ED79EC">
      <w:pPr>
        <w:pStyle w:val="TM3"/>
        <w:tabs>
          <w:tab w:val="left" w:pos="1171"/>
          <w:tab w:val="right" w:leader="dot" w:pos="8488"/>
        </w:tabs>
        <w:rPr>
          <w:noProof/>
          <w:sz w:val="24"/>
          <w:szCs w:val="24"/>
          <w:lang w:eastAsia="ja-JP"/>
        </w:rPr>
      </w:pPr>
      <w:r w:rsidRPr="00E57AA9">
        <w:rPr>
          <w:noProof/>
        </w:rPr>
        <w:t>1.</w:t>
      </w:r>
      <w:r>
        <w:rPr>
          <w:noProof/>
          <w:sz w:val="24"/>
          <w:szCs w:val="24"/>
          <w:lang w:eastAsia="ja-JP"/>
        </w:rPr>
        <w:tab/>
      </w:r>
      <w:r>
        <w:rPr>
          <w:noProof/>
        </w:rPr>
        <w:t>Le réseau et ses besoins de désherbage</w:t>
      </w:r>
      <w:r>
        <w:rPr>
          <w:noProof/>
        </w:rPr>
        <w:tab/>
      </w:r>
      <w:r>
        <w:rPr>
          <w:noProof/>
        </w:rPr>
        <w:fldChar w:fldCharType="begin"/>
      </w:r>
      <w:r>
        <w:rPr>
          <w:noProof/>
        </w:rPr>
        <w:instrText xml:space="preserve"> PAGEREF _Toc360458885 \h </w:instrText>
      </w:r>
      <w:r>
        <w:rPr>
          <w:noProof/>
        </w:rPr>
      </w:r>
      <w:r>
        <w:rPr>
          <w:noProof/>
        </w:rPr>
        <w:fldChar w:fldCharType="separate"/>
      </w:r>
      <w:r>
        <w:rPr>
          <w:noProof/>
        </w:rPr>
        <w:t>13</w:t>
      </w:r>
      <w:r>
        <w:rPr>
          <w:noProof/>
        </w:rPr>
        <w:fldChar w:fldCharType="end"/>
      </w:r>
    </w:p>
    <w:p w14:paraId="13F94E08" w14:textId="77777777" w:rsidR="00ED79EC" w:rsidRDefault="00ED79EC">
      <w:pPr>
        <w:pStyle w:val="TM4"/>
        <w:tabs>
          <w:tab w:val="left" w:pos="1395"/>
          <w:tab w:val="right" w:leader="dot" w:pos="8488"/>
        </w:tabs>
        <w:rPr>
          <w:noProof/>
          <w:sz w:val="24"/>
          <w:szCs w:val="24"/>
          <w:lang w:eastAsia="ja-JP"/>
        </w:rPr>
      </w:pPr>
      <w:r w:rsidRPr="00E57AA9">
        <w:rPr>
          <w:rFonts w:ascii="Corbel" w:hAnsi="Corbel"/>
          <w:noProof/>
        </w:rPr>
        <w:t>a.</w:t>
      </w:r>
      <w:r>
        <w:rPr>
          <w:noProof/>
          <w:sz w:val="24"/>
          <w:szCs w:val="24"/>
          <w:lang w:eastAsia="ja-JP"/>
        </w:rPr>
        <w:tab/>
      </w:r>
      <w:r w:rsidRPr="00E57AA9">
        <w:rPr>
          <w:rFonts w:ascii="Corbel" w:hAnsi="Corbel"/>
          <w:noProof/>
        </w:rPr>
        <w:t>Des besoins énormes</w:t>
      </w:r>
      <w:r>
        <w:rPr>
          <w:noProof/>
        </w:rPr>
        <w:tab/>
      </w:r>
      <w:r>
        <w:rPr>
          <w:noProof/>
        </w:rPr>
        <w:fldChar w:fldCharType="begin"/>
      </w:r>
      <w:r>
        <w:rPr>
          <w:noProof/>
        </w:rPr>
        <w:instrText xml:space="preserve"> PAGEREF _Toc360458886 \h </w:instrText>
      </w:r>
      <w:r>
        <w:rPr>
          <w:noProof/>
        </w:rPr>
      </w:r>
      <w:r>
        <w:rPr>
          <w:noProof/>
        </w:rPr>
        <w:fldChar w:fldCharType="separate"/>
      </w:r>
      <w:r>
        <w:rPr>
          <w:noProof/>
        </w:rPr>
        <w:t>13</w:t>
      </w:r>
      <w:r>
        <w:rPr>
          <w:noProof/>
        </w:rPr>
        <w:fldChar w:fldCharType="end"/>
      </w:r>
    </w:p>
    <w:p w14:paraId="5E334F1D" w14:textId="77777777" w:rsidR="00ED79EC" w:rsidRDefault="00ED79EC">
      <w:pPr>
        <w:pStyle w:val="TM4"/>
        <w:tabs>
          <w:tab w:val="left" w:pos="1394"/>
          <w:tab w:val="right" w:leader="dot" w:pos="8488"/>
        </w:tabs>
        <w:rPr>
          <w:noProof/>
          <w:sz w:val="24"/>
          <w:szCs w:val="24"/>
          <w:lang w:eastAsia="ja-JP"/>
        </w:rPr>
      </w:pPr>
      <w:r w:rsidRPr="00E57AA9">
        <w:rPr>
          <w:noProof/>
        </w:rPr>
        <w:t>b.</w:t>
      </w:r>
      <w:r>
        <w:rPr>
          <w:noProof/>
          <w:sz w:val="24"/>
          <w:szCs w:val="24"/>
          <w:lang w:eastAsia="ja-JP"/>
        </w:rPr>
        <w:tab/>
      </w:r>
      <w:r>
        <w:rPr>
          <w:noProof/>
        </w:rPr>
        <w:t>L’absence de méthodes alternatives</w:t>
      </w:r>
      <w:r>
        <w:rPr>
          <w:noProof/>
        </w:rPr>
        <w:tab/>
      </w:r>
      <w:r>
        <w:rPr>
          <w:noProof/>
        </w:rPr>
        <w:fldChar w:fldCharType="begin"/>
      </w:r>
      <w:r>
        <w:rPr>
          <w:noProof/>
        </w:rPr>
        <w:instrText xml:space="preserve"> PAGEREF _Toc360458887 \h </w:instrText>
      </w:r>
      <w:r>
        <w:rPr>
          <w:noProof/>
        </w:rPr>
      </w:r>
      <w:r>
        <w:rPr>
          <w:noProof/>
        </w:rPr>
        <w:fldChar w:fldCharType="separate"/>
      </w:r>
      <w:r>
        <w:rPr>
          <w:noProof/>
        </w:rPr>
        <w:t>14</w:t>
      </w:r>
      <w:r>
        <w:rPr>
          <w:noProof/>
        </w:rPr>
        <w:fldChar w:fldCharType="end"/>
      </w:r>
    </w:p>
    <w:p w14:paraId="716EECF0" w14:textId="77777777" w:rsidR="00ED79EC" w:rsidRDefault="00ED79EC">
      <w:pPr>
        <w:pStyle w:val="TM3"/>
        <w:tabs>
          <w:tab w:val="left" w:pos="1171"/>
          <w:tab w:val="right" w:leader="dot" w:pos="8488"/>
        </w:tabs>
        <w:rPr>
          <w:noProof/>
          <w:sz w:val="24"/>
          <w:szCs w:val="24"/>
          <w:lang w:eastAsia="ja-JP"/>
        </w:rPr>
      </w:pPr>
      <w:r w:rsidRPr="00E57AA9">
        <w:rPr>
          <w:noProof/>
        </w:rPr>
        <w:t>2.</w:t>
      </w:r>
      <w:r>
        <w:rPr>
          <w:noProof/>
          <w:sz w:val="24"/>
          <w:szCs w:val="24"/>
          <w:lang w:eastAsia="ja-JP"/>
        </w:rPr>
        <w:tab/>
      </w:r>
      <w:r>
        <w:rPr>
          <w:noProof/>
        </w:rPr>
        <w:t>Le coût économique et organisationnel d’une interdiction immédiate du glyphosate</w:t>
      </w:r>
      <w:r>
        <w:rPr>
          <w:noProof/>
        </w:rPr>
        <w:tab/>
      </w:r>
      <w:r>
        <w:rPr>
          <w:noProof/>
        </w:rPr>
        <w:fldChar w:fldCharType="begin"/>
      </w:r>
      <w:r>
        <w:rPr>
          <w:noProof/>
        </w:rPr>
        <w:instrText xml:space="preserve"> PAGEREF _Toc360458888 \h </w:instrText>
      </w:r>
      <w:r>
        <w:rPr>
          <w:noProof/>
        </w:rPr>
      </w:r>
      <w:r>
        <w:rPr>
          <w:noProof/>
        </w:rPr>
        <w:fldChar w:fldCharType="separate"/>
      </w:r>
      <w:r>
        <w:rPr>
          <w:noProof/>
        </w:rPr>
        <w:t>15</w:t>
      </w:r>
      <w:r>
        <w:rPr>
          <w:noProof/>
        </w:rPr>
        <w:fldChar w:fldCharType="end"/>
      </w:r>
    </w:p>
    <w:p w14:paraId="4784B87C" w14:textId="77777777" w:rsidR="00ED79EC" w:rsidRDefault="00ED79EC">
      <w:pPr>
        <w:pStyle w:val="TM3"/>
        <w:tabs>
          <w:tab w:val="left" w:pos="1171"/>
          <w:tab w:val="right" w:leader="dot" w:pos="8488"/>
        </w:tabs>
        <w:rPr>
          <w:noProof/>
          <w:sz w:val="24"/>
          <w:szCs w:val="24"/>
          <w:lang w:eastAsia="ja-JP"/>
        </w:rPr>
      </w:pPr>
      <w:r w:rsidRPr="00E57AA9">
        <w:rPr>
          <w:noProof/>
        </w:rPr>
        <w:t>3.</w:t>
      </w:r>
      <w:r>
        <w:rPr>
          <w:noProof/>
          <w:sz w:val="24"/>
          <w:szCs w:val="24"/>
          <w:lang w:eastAsia="ja-JP"/>
        </w:rPr>
        <w:tab/>
      </w:r>
      <w:r>
        <w:rPr>
          <w:noProof/>
        </w:rPr>
        <w:t>Un engagement prononcé de la SNCF en faveur de l’optimisation de l’utilisation du glyphosate</w:t>
      </w:r>
      <w:r>
        <w:rPr>
          <w:noProof/>
        </w:rPr>
        <w:tab/>
      </w:r>
      <w:r>
        <w:rPr>
          <w:noProof/>
        </w:rPr>
        <w:fldChar w:fldCharType="begin"/>
      </w:r>
      <w:r>
        <w:rPr>
          <w:noProof/>
        </w:rPr>
        <w:instrText xml:space="preserve"> PAGEREF _Toc360458889 \h </w:instrText>
      </w:r>
      <w:r>
        <w:rPr>
          <w:noProof/>
        </w:rPr>
      </w:r>
      <w:r>
        <w:rPr>
          <w:noProof/>
        </w:rPr>
        <w:fldChar w:fldCharType="separate"/>
      </w:r>
      <w:r>
        <w:rPr>
          <w:noProof/>
        </w:rPr>
        <w:t>15</w:t>
      </w:r>
      <w:r>
        <w:rPr>
          <w:noProof/>
        </w:rPr>
        <w:fldChar w:fldCharType="end"/>
      </w:r>
    </w:p>
    <w:p w14:paraId="49A64C48" w14:textId="77777777" w:rsidR="00ED79EC" w:rsidRDefault="00ED79EC">
      <w:pPr>
        <w:pStyle w:val="TM3"/>
        <w:tabs>
          <w:tab w:val="left" w:pos="1176"/>
          <w:tab w:val="right" w:leader="dot" w:pos="8488"/>
        </w:tabs>
        <w:rPr>
          <w:noProof/>
          <w:sz w:val="24"/>
          <w:szCs w:val="24"/>
          <w:lang w:eastAsia="ja-JP"/>
        </w:rPr>
      </w:pPr>
      <w:r w:rsidRPr="00E57AA9">
        <w:rPr>
          <w:rFonts w:ascii="Corbel" w:hAnsi="Corbel"/>
          <w:noProof/>
        </w:rPr>
        <w:t>4.</w:t>
      </w:r>
      <w:r>
        <w:rPr>
          <w:noProof/>
          <w:sz w:val="24"/>
          <w:szCs w:val="24"/>
          <w:lang w:eastAsia="ja-JP"/>
        </w:rPr>
        <w:tab/>
      </w:r>
      <w:r w:rsidRPr="00E57AA9">
        <w:rPr>
          <w:rFonts w:ascii="Corbel" w:hAnsi="Corbel"/>
          <w:noProof/>
        </w:rPr>
        <w:t>Se passer du glyphosate : une perspective réelle mais seulement à moyen terme pour la SNCF</w:t>
      </w:r>
      <w:r>
        <w:rPr>
          <w:noProof/>
        </w:rPr>
        <w:tab/>
      </w:r>
      <w:r>
        <w:rPr>
          <w:noProof/>
        </w:rPr>
        <w:fldChar w:fldCharType="begin"/>
      </w:r>
      <w:r>
        <w:rPr>
          <w:noProof/>
        </w:rPr>
        <w:instrText xml:space="preserve"> PAGEREF _Toc360458890 \h </w:instrText>
      </w:r>
      <w:r>
        <w:rPr>
          <w:noProof/>
        </w:rPr>
      </w:r>
      <w:r>
        <w:rPr>
          <w:noProof/>
        </w:rPr>
        <w:fldChar w:fldCharType="separate"/>
      </w:r>
      <w:r>
        <w:rPr>
          <w:noProof/>
        </w:rPr>
        <w:t>16</w:t>
      </w:r>
      <w:r>
        <w:rPr>
          <w:noProof/>
        </w:rPr>
        <w:fldChar w:fldCharType="end"/>
      </w:r>
    </w:p>
    <w:p w14:paraId="0BC93AD4" w14:textId="77777777" w:rsidR="00ED79EC" w:rsidRDefault="00ED79EC">
      <w:pPr>
        <w:pStyle w:val="TM1"/>
        <w:tabs>
          <w:tab w:val="right" w:leader="dot" w:pos="8488"/>
        </w:tabs>
        <w:rPr>
          <w:b w:val="0"/>
          <w:noProof/>
          <w:sz w:val="24"/>
          <w:szCs w:val="24"/>
          <w:lang w:eastAsia="ja-JP"/>
        </w:rPr>
      </w:pPr>
      <w:r>
        <w:rPr>
          <w:noProof/>
        </w:rPr>
        <w:t>Trois recommandations pour un débat apaisé et une action politique éclairée</w:t>
      </w:r>
      <w:r>
        <w:rPr>
          <w:noProof/>
        </w:rPr>
        <w:tab/>
      </w:r>
      <w:r>
        <w:rPr>
          <w:noProof/>
        </w:rPr>
        <w:fldChar w:fldCharType="begin"/>
      </w:r>
      <w:r>
        <w:rPr>
          <w:noProof/>
        </w:rPr>
        <w:instrText xml:space="preserve"> PAGEREF _Toc360458891 \h </w:instrText>
      </w:r>
      <w:r>
        <w:rPr>
          <w:noProof/>
        </w:rPr>
      </w:r>
      <w:r>
        <w:rPr>
          <w:noProof/>
        </w:rPr>
        <w:fldChar w:fldCharType="separate"/>
      </w:r>
      <w:r>
        <w:rPr>
          <w:noProof/>
        </w:rPr>
        <w:t>17</w:t>
      </w:r>
      <w:r>
        <w:rPr>
          <w:noProof/>
        </w:rPr>
        <w:fldChar w:fldCharType="end"/>
      </w:r>
    </w:p>
    <w:p w14:paraId="41E2943B" w14:textId="77777777" w:rsidR="00ED79EC" w:rsidRDefault="00ED79EC">
      <w:pPr>
        <w:pStyle w:val="TM3"/>
        <w:tabs>
          <w:tab w:val="left" w:pos="1171"/>
          <w:tab w:val="right" w:leader="dot" w:pos="8488"/>
        </w:tabs>
        <w:rPr>
          <w:noProof/>
          <w:sz w:val="24"/>
          <w:szCs w:val="24"/>
          <w:lang w:eastAsia="ja-JP"/>
        </w:rPr>
      </w:pPr>
      <w:r>
        <w:rPr>
          <w:noProof/>
        </w:rPr>
        <w:t>1.</w:t>
      </w:r>
      <w:r>
        <w:rPr>
          <w:noProof/>
          <w:sz w:val="24"/>
          <w:szCs w:val="24"/>
          <w:lang w:eastAsia="ja-JP"/>
        </w:rPr>
        <w:tab/>
      </w:r>
      <w:r>
        <w:rPr>
          <w:noProof/>
        </w:rPr>
        <w:t>Une « logique du parapluie » à maîtriser</w:t>
      </w:r>
      <w:r>
        <w:rPr>
          <w:noProof/>
        </w:rPr>
        <w:tab/>
      </w:r>
      <w:r>
        <w:rPr>
          <w:noProof/>
        </w:rPr>
        <w:fldChar w:fldCharType="begin"/>
      </w:r>
      <w:r>
        <w:rPr>
          <w:noProof/>
        </w:rPr>
        <w:instrText xml:space="preserve"> PAGEREF _Toc360458892 \h </w:instrText>
      </w:r>
      <w:r>
        <w:rPr>
          <w:noProof/>
        </w:rPr>
      </w:r>
      <w:r>
        <w:rPr>
          <w:noProof/>
        </w:rPr>
        <w:fldChar w:fldCharType="separate"/>
      </w:r>
      <w:r>
        <w:rPr>
          <w:noProof/>
        </w:rPr>
        <w:t>17</w:t>
      </w:r>
      <w:r>
        <w:rPr>
          <w:noProof/>
        </w:rPr>
        <w:fldChar w:fldCharType="end"/>
      </w:r>
    </w:p>
    <w:p w14:paraId="2C5D84A2" w14:textId="77777777" w:rsidR="00ED79EC" w:rsidRDefault="00ED79EC">
      <w:pPr>
        <w:pStyle w:val="TM3"/>
        <w:tabs>
          <w:tab w:val="left" w:pos="1171"/>
          <w:tab w:val="right" w:leader="dot" w:pos="8488"/>
        </w:tabs>
        <w:rPr>
          <w:noProof/>
          <w:sz w:val="24"/>
          <w:szCs w:val="24"/>
          <w:lang w:eastAsia="ja-JP"/>
        </w:rPr>
      </w:pPr>
      <w:r>
        <w:rPr>
          <w:noProof/>
        </w:rPr>
        <w:t>2.</w:t>
      </w:r>
      <w:r>
        <w:rPr>
          <w:noProof/>
          <w:sz w:val="24"/>
          <w:szCs w:val="24"/>
          <w:lang w:eastAsia="ja-JP"/>
        </w:rPr>
        <w:tab/>
      </w:r>
      <w:r>
        <w:rPr>
          <w:noProof/>
        </w:rPr>
        <w:t>Dépassionner le débat pour qu’il reste fondé sur les faits scientifiques</w:t>
      </w:r>
      <w:r>
        <w:rPr>
          <w:noProof/>
        </w:rPr>
        <w:tab/>
      </w:r>
      <w:r>
        <w:rPr>
          <w:noProof/>
        </w:rPr>
        <w:fldChar w:fldCharType="begin"/>
      </w:r>
      <w:r>
        <w:rPr>
          <w:noProof/>
        </w:rPr>
        <w:instrText xml:space="preserve"> PAGEREF _Toc360458893 \h </w:instrText>
      </w:r>
      <w:r>
        <w:rPr>
          <w:noProof/>
        </w:rPr>
      </w:r>
      <w:r>
        <w:rPr>
          <w:noProof/>
        </w:rPr>
        <w:fldChar w:fldCharType="separate"/>
      </w:r>
      <w:r>
        <w:rPr>
          <w:noProof/>
        </w:rPr>
        <w:t>17</w:t>
      </w:r>
      <w:r>
        <w:rPr>
          <w:noProof/>
        </w:rPr>
        <w:fldChar w:fldCharType="end"/>
      </w:r>
    </w:p>
    <w:p w14:paraId="1AB61598" w14:textId="77777777" w:rsidR="00ED79EC" w:rsidRDefault="00ED79EC">
      <w:pPr>
        <w:pStyle w:val="TM3"/>
        <w:tabs>
          <w:tab w:val="left" w:pos="1171"/>
          <w:tab w:val="right" w:leader="dot" w:pos="8488"/>
        </w:tabs>
        <w:rPr>
          <w:noProof/>
          <w:sz w:val="24"/>
          <w:szCs w:val="24"/>
          <w:lang w:eastAsia="ja-JP"/>
        </w:rPr>
      </w:pPr>
      <w:r>
        <w:rPr>
          <w:noProof/>
        </w:rPr>
        <w:t>3.</w:t>
      </w:r>
      <w:r>
        <w:rPr>
          <w:noProof/>
          <w:sz w:val="24"/>
          <w:szCs w:val="24"/>
          <w:lang w:eastAsia="ja-JP"/>
        </w:rPr>
        <w:tab/>
      </w:r>
      <w:r>
        <w:rPr>
          <w:noProof/>
        </w:rPr>
        <w:t>Promouvoir dans l’immédiat une régulation des usages plutôt qu’une interdiction</w:t>
      </w:r>
      <w:r>
        <w:rPr>
          <w:noProof/>
        </w:rPr>
        <w:tab/>
      </w:r>
      <w:r>
        <w:rPr>
          <w:noProof/>
        </w:rPr>
        <w:fldChar w:fldCharType="begin"/>
      </w:r>
      <w:r>
        <w:rPr>
          <w:noProof/>
        </w:rPr>
        <w:instrText xml:space="preserve"> PAGEREF _Toc360458894 \h </w:instrText>
      </w:r>
      <w:r>
        <w:rPr>
          <w:noProof/>
        </w:rPr>
      </w:r>
      <w:r>
        <w:rPr>
          <w:noProof/>
        </w:rPr>
        <w:fldChar w:fldCharType="separate"/>
      </w:r>
      <w:r>
        <w:rPr>
          <w:noProof/>
        </w:rPr>
        <w:t>17</w:t>
      </w:r>
      <w:r>
        <w:rPr>
          <w:noProof/>
        </w:rPr>
        <w:fldChar w:fldCharType="end"/>
      </w:r>
    </w:p>
    <w:p w14:paraId="56671A6B" w14:textId="77777777" w:rsidR="00ED79EC" w:rsidRDefault="00ED79EC">
      <w:pPr>
        <w:pStyle w:val="TM1"/>
        <w:tabs>
          <w:tab w:val="right" w:leader="dot" w:pos="8488"/>
        </w:tabs>
        <w:rPr>
          <w:b w:val="0"/>
          <w:noProof/>
          <w:sz w:val="24"/>
          <w:szCs w:val="24"/>
          <w:lang w:eastAsia="ja-JP"/>
        </w:rPr>
      </w:pPr>
      <w:r>
        <w:rPr>
          <w:noProof/>
        </w:rPr>
        <w:t>Conclusion : bien utiliser le principe de précaution</w:t>
      </w:r>
      <w:r>
        <w:rPr>
          <w:noProof/>
        </w:rPr>
        <w:tab/>
      </w:r>
      <w:r>
        <w:rPr>
          <w:noProof/>
        </w:rPr>
        <w:fldChar w:fldCharType="begin"/>
      </w:r>
      <w:r>
        <w:rPr>
          <w:noProof/>
        </w:rPr>
        <w:instrText xml:space="preserve"> PAGEREF _Toc360458895 \h </w:instrText>
      </w:r>
      <w:r>
        <w:rPr>
          <w:noProof/>
        </w:rPr>
      </w:r>
      <w:r>
        <w:rPr>
          <w:noProof/>
        </w:rPr>
        <w:fldChar w:fldCharType="separate"/>
      </w:r>
      <w:r>
        <w:rPr>
          <w:noProof/>
        </w:rPr>
        <w:t>19</w:t>
      </w:r>
      <w:r>
        <w:rPr>
          <w:noProof/>
        </w:rPr>
        <w:fldChar w:fldCharType="end"/>
      </w:r>
    </w:p>
    <w:p w14:paraId="4C6D6F89" w14:textId="77777777" w:rsidR="00ED79EC" w:rsidRDefault="00ED79EC">
      <w:pPr>
        <w:pStyle w:val="TM1"/>
        <w:tabs>
          <w:tab w:val="right" w:leader="dot" w:pos="8488"/>
        </w:tabs>
        <w:rPr>
          <w:b w:val="0"/>
          <w:noProof/>
          <w:sz w:val="24"/>
          <w:szCs w:val="24"/>
          <w:lang w:eastAsia="ja-JP"/>
        </w:rPr>
      </w:pPr>
      <w:r>
        <w:rPr>
          <w:noProof/>
        </w:rPr>
        <w:t>Annexes</w:t>
      </w:r>
      <w:r>
        <w:rPr>
          <w:noProof/>
        </w:rPr>
        <w:tab/>
      </w:r>
      <w:r>
        <w:rPr>
          <w:noProof/>
        </w:rPr>
        <w:fldChar w:fldCharType="begin"/>
      </w:r>
      <w:r>
        <w:rPr>
          <w:noProof/>
        </w:rPr>
        <w:instrText xml:space="preserve"> PAGEREF _Toc360458896 \h </w:instrText>
      </w:r>
      <w:r>
        <w:rPr>
          <w:noProof/>
        </w:rPr>
      </w:r>
      <w:r>
        <w:rPr>
          <w:noProof/>
        </w:rPr>
        <w:fldChar w:fldCharType="separate"/>
      </w:r>
      <w:r>
        <w:rPr>
          <w:noProof/>
        </w:rPr>
        <w:t>21</w:t>
      </w:r>
      <w:r>
        <w:rPr>
          <w:noProof/>
        </w:rPr>
        <w:fldChar w:fldCharType="end"/>
      </w:r>
    </w:p>
    <w:p w14:paraId="1D5CAD7E" w14:textId="77777777" w:rsidR="00ED79EC" w:rsidRDefault="00ED79EC">
      <w:pPr>
        <w:pStyle w:val="TM2"/>
        <w:tabs>
          <w:tab w:val="left" w:pos="937"/>
          <w:tab w:val="right" w:leader="dot" w:pos="8488"/>
        </w:tabs>
        <w:rPr>
          <w:i w:val="0"/>
          <w:noProof/>
          <w:sz w:val="24"/>
          <w:szCs w:val="24"/>
          <w:lang w:eastAsia="ja-JP"/>
        </w:rPr>
      </w:pPr>
      <w:r>
        <w:rPr>
          <w:noProof/>
        </w:rPr>
        <w:t>A.</w:t>
      </w:r>
      <w:r>
        <w:rPr>
          <w:i w:val="0"/>
          <w:noProof/>
          <w:sz w:val="24"/>
          <w:szCs w:val="24"/>
          <w:lang w:eastAsia="ja-JP"/>
        </w:rPr>
        <w:tab/>
      </w:r>
      <w:r>
        <w:rPr>
          <w:noProof/>
        </w:rPr>
        <w:t>Liste des auditions réalisées</w:t>
      </w:r>
      <w:r>
        <w:rPr>
          <w:noProof/>
        </w:rPr>
        <w:tab/>
      </w:r>
      <w:r>
        <w:rPr>
          <w:noProof/>
        </w:rPr>
        <w:fldChar w:fldCharType="begin"/>
      </w:r>
      <w:r>
        <w:rPr>
          <w:noProof/>
        </w:rPr>
        <w:instrText xml:space="preserve"> PAGEREF _Toc360458897 \h </w:instrText>
      </w:r>
      <w:r>
        <w:rPr>
          <w:noProof/>
        </w:rPr>
      </w:r>
      <w:r>
        <w:rPr>
          <w:noProof/>
        </w:rPr>
        <w:fldChar w:fldCharType="separate"/>
      </w:r>
      <w:r>
        <w:rPr>
          <w:noProof/>
        </w:rPr>
        <w:t>21</w:t>
      </w:r>
      <w:r>
        <w:rPr>
          <w:noProof/>
        </w:rPr>
        <w:fldChar w:fldCharType="end"/>
      </w:r>
    </w:p>
    <w:p w14:paraId="077882A2" w14:textId="77777777" w:rsidR="00ED79EC" w:rsidRDefault="00ED79EC">
      <w:pPr>
        <w:pStyle w:val="TM2"/>
        <w:tabs>
          <w:tab w:val="left" w:pos="939"/>
          <w:tab w:val="right" w:leader="dot" w:pos="8488"/>
        </w:tabs>
        <w:rPr>
          <w:i w:val="0"/>
          <w:noProof/>
          <w:sz w:val="24"/>
          <w:szCs w:val="24"/>
          <w:lang w:eastAsia="ja-JP"/>
        </w:rPr>
      </w:pPr>
      <w:r>
        <w:rPr>
          <w:noProof/>
        </w:rPr>
        <w:t>B.</w:t>
      </w:r>
      <w:r>
        <w:rPr>
          <w:i w:val="0"/>
          <w:noProof/>
          <w:sz w:val="24"/>
          <w:szCs w:val="24"/>
          <w:lang w:eastAsia="ja-JP"/>
        </w:rPr>
        <w:tab/>
      </w:r>
      <w:r>
        <w:rPr>
          <w:noProof/>
        </w:rPr>
        <w:t>Détail des hypothèses de calcul du coût d’une interdiction du glyphosate (source : Arvalis)</w:t>
      </w:r>
      <w:r>
        <w:rPr>
          <w:noProof/>
        </w:rPr>
        <w:tab/>
      </w:r>
      <w:r>
        <w:rPr>
          <w:noProof/>
        </w:rPr>
        <w:fldChar w:fldCharType="begin"/>
      </w:r>
      <w:r>
        <w:rPr>
          <w:noProof/>
        </w:rPr>
        <w:instrText xml:space="preserve"> PAGEREF _Toc360458898 \h </w:instrText>
      </w:r>
      <w:r>
        <w:rPr>
          <w:noProof/>
        </w:rPr>
      </w:r>
      <w:r>
        <w:rPr>
          <w:noProof/>
        </w:rPr>
        <w:fldChar w:fldCharType="separate"/>
      </w:r>
      <w:r>
        <w:rPr>
          <w:noProof/>
        </w:rPr>
        <w:t>21</w:t>
      </w:r>
      <w:r>
        <w:rPr>
          <w:noProof/>
        </w:rPr>
        <w:fldChar w:fldCharType="end"/>
      </w:r>
    </w:p>
    <w:p w14:paraId="6FCFA334" w14:textId="450327D4" w:rsidR="004D4819" w:rsidRDefault="00ED79EC" w:rsidP="00F63E66">
      <w:pPr>
        <w:rPr>
          <w:i/>
        </w:rPr>
      </w:pPr>
      <w:r>
        <w:rPr>
          <w:rFonts w:asciiTheme="minorHAnsi" w:hAnsiTheme="minorHAnsi"/>
          <w:b/>
          <w:i/>
          <w:sz w:val="22"/>
          <w:szCs w:val="22"/>
        </w:rPr>
        <w:fldChar w:fldCharType="end"/>
      </w:r>
    </w:p>
    <w:p w14:paraId="36557020" w14:textId="4A4140FA" w:rsidR="004D4819" w:rsidRDefault="004D4819" w:rsidP="00F63E66">
      <w:pPr>
        <w:rPr>
          <w:i/>
        </w:rPr>
      </w:pPr>
    </w:p>
    <w:p w14:paraId="2BAFF808" w14:textId="5717C39A" w:rsidR="00B121D8" w:rsidRDefault="00FA7530">
      <w:pPr>
        <w:spacing w:after="0"/>
        <w:ind w:firstLine="0"/>
        <w:jc w:val="left"/>
        <w:rPr>
          <w:i/>
        </w:rPr>
      </w:pPr>
      <w:r>
        <w:rPr>
          <w:i/>
        </w:rPr>
        <w:t xml:space="preserve"> </w:t>
      </w:r>
    </w:p>
    <w:p w14:paraId="208BFFBB" w14:textId="5BDB6AAD" w:rsidR="008D4123" w:rsidRDefault="008D4123" w:rsidP="00D460E7">
      <w:pPr>
        <w:pStyle w:val="Titre1"/>
        <w:numPr>
          <w:ilvl w:val="0"/>
          <w:numId w:val="0"/>
        </w:numPr>
        <w:ind w:left="720"/>
      </w:pPr>
      <w:bookmarkStart w:id="1" w:name="_Toc360458868"/>
      <w:r>
        <w:lastRenderedPageBreak/>
        <w:t>Introduction</w:t>
      </w:r>
      <w:bookmarkEnd w:id="1"/>
    </w:p>
    <w:p w14:paraId="1F116CEA" w14:textId="77777777" w:rsidR="0029300D" w:rsidRDefault="0029300D" w:rsidP="0029300D"/>
    <w:p w14:paraId="059C5BC8" w14:textId="6A46073D" w:rsidR="007C2C2F" w:rsidRDefault="0029300D" w:rsidP="0029300D">
      <w:r>
        <w:t>La pratique du désherbage est consubstantielle à celle de l’agriculture</w:t>
      </w:r>
      <w:r w:rsidR="00BC7FAD">
        <w:t>. Depuis des millénaires, l’homme</w:t>
      </w:r>
      <w:r>
        <w:t xml:space="preserve"> trie les semences, enlève ce</w:t>
      </w:r>
      <w:r w:rsidR="00BC7FAD">
        <w:t>lles</w:t>
      </w:r>
      <w:r>
        <w:t xml:space="preserve"> qui ne convien</w:t>
      </w:r>
      <w:r w:rsidR="00BC7FAD">
        <w:t>nen</w:t>
      </w:r>
      <w:r>
        <w:t>t pas</w:t>
      </w:r>
      <w:r w:rsidR="00BC7FAD">
        <w:t xml:space="preserve"> ou sont nuisibles, pour ne conserver que celles qui sont utiles</w:t>
      </w:r>
      <w:r>
        <w:t xml:space="preserve">. </w:t>
      </w:r>
      <w:r w:rsidR="007C2C2F">
        <w:t>Ce principe</w:t>
      </w:r>
      <w:r w:rsidR="0069037C">
        <w:t xml:space="preserve"> de sélection et d’intervention sur la marche naturelle des choses</w:t>
      </w:r>
      <w:r w:rsidR="007C2C2F">
        <w:t xml:space="preserve"> est au cœur de la révolution néolithique</w:t>
      </w:r>
      <w:r w:rsidR="008A64EC">
        <w:t xml:space="preserve"> qui est née dans les territoires du </w:t>
      </w:r>
      <w:r w:rsidR="006764FB">
        <w:t>Proche</w:t>
      </w:r>
      <w:r w:rsidR="00230CF8">
        <w:t>-Orient</w:t>
      </w:r>
      <w:r w:rsidR="008A64EC">
        <w:t xml:space="preserve"> aux alentours du </w:t>
      </w:r>
      <w:r w:rsidR="00230CF8">
        <w:t>dixième millénaire avant notre ère</w:t>
      </w:r>
      <w:r w:rsidR="006764FB">
        <w:t>. C’est précisément cette sélection et cette intervention qui</w:t>
      </w:r>
      <w:r w:rsidR="007C2C2F">
        <w:t xml:space="preserve"> distin</w:t>
      </w:r>
      <w:r w:rsidR="0069037C">
        <w:t>gue</w:t>
      </w:r>
      <w:r w:rsidR="006764FB">
        <w:t>nt</w:t>
      </w:r>
      <w:r w:rsidR="0069037C">
        <w:t xml:space="preserve"> la cueillette et</w:t>
      </w:r>
      <w:r w:rsidR="007C2C2F">
        <w:t xml:space="preserve"> la chasse, respectivement, de l’agriculture et de l’élevage. </w:t>
      </w:r>
      <w:r w:rsidR="008A64EC">
        <w:t xml:space="preserve">C’est </w:t>
      </w:r>
      <w:r w:rsidR="00E3118D">
        <w:t xml:space="preserve">d’ailleurs </w:t>
      </w:r>
      <w:r w:rsidR="008A64EC">
        <w:t>le même processus de sélection, répété de générations en générations, qui a permis</w:t>
      </w:r>
      <w:r w:rsidR="007C2C2F">
        <w:t xml:space="preserve"> </w:t>
      </w:r>
      <w:r w:rsidR="008A64EC">
        <w:t xml:space="preserve">aux </w:t>
      </w:r>
      <w:r w:rsidR="007C2C2F">
        <w:t xml:space="preserve">hommes </w:t>
      </w:r>
      <w:r w:rsidR="008A64EC">
        <w:t>de créer</w:t>
      </w:r>
      <w:r w:rsidR="007C2C2F">
        <w:t xml:space="preserve"> des </w:t>
      </w:r>
      <w:r w:rsidR="008A64EC">
        <w:t xml:space="preserve">espèces végétales et animales </w:t>
      </w:r>
      <w:r w:rsidR="00E3118D">
        <w:t>originales dont les qualités lui convenaient mieux (</w:t>
      </w:r>
      <w:r w:rsidR="006764FB">
        <w:t>chiens et chats « de race », c’est-à-dire modifiés par nous</w:t>
      </w:r>
      <w:r w:rsidR="00B45E86">
        <w:t>,</w:t>
      </w:r>
      <w:r w:rsidR="006764FB">
        <w:t xml:space="preserve"> </w:t>
      </w:r>
      <w:r w:rsidR="00E3118D">
        <w:t>vaches plus productives, céréales plus résistantes,</w:t>
      </w:r>
      <w:r w:rsidR="00230CF8">
        <w:t xml:space="preserve"> variétés de légumes et de fruits</w:t>
      </w:r>
      <w:r w:rsidR="006764FB">
        <w:t xml:space="preserve"> </w:t>
      </w:r>
      <w:r w:rsidR="00230CF8">
        <w:t>au meilleur goût,</w:t>
      </w:r>
      <w:r w:rsidR="00E3118D">
        <w:t xml:space="preserve"> etc.).</w:t>
      </w:r>
    </w:p>
    <w:p w14:paraId="5DC7F380" w14:textId="1B90AEEA" w:rsidR="008E10A0" w:rsidRDefault="008E10A0" w:rsidP="0029300D">
      <w:r>
        <w:t>Jusqu’au milieu du XIX</w:t>
      </w:r>
      <w:r w:rsidRPr="008E10A0">
        <w:rPr>
          <w:vertAlign w:val="superscript"/>
        </w:rPr>
        <w:t>e</w:t>
      </w:r>
      <w:r>
        <w:t xml:space="preserve"> siècle, le désherbage était réalisé à la main. Une tâche particulièrement fastidieuse mobilisant une importante main d’œuvre. L’utilisation à partir de cette époque du d</w:t>
      </w:r>
      <w:r w:rsidR="0029300D">
        <w:t>ésherbage chimique </w:t>
      </w:r>
      <w:r>
        <w:t>a permis une forte augmentation de la productivité. Avec la mécanisation permise par la maîtrise de l’énergie de la vapeur, le désherbage chimique fait partie des</w:t>
      </w:r>
      <w:r w:rsidR="00EB0746">
        <w:t xml:space="preserve"> facteurs à l’origine de la première Révolution industrielle. En augmentant la productivité agricole, elle a libéré une importante main d’œuvre qui, en migrant dans les villes, a fourni les ressources nécessaires au développement industriel.</w:t>
      </w:r>
    </w:p>
    <w:p w14:paraId="6DE525A1" w14:textId="35533E81" w:rsidR="008F7DD1" w:rsidRDefault="00230CF8" w:rsidP="00A402AF">
      <w:pPr>
        <w:rPr>
          <w:rFonts w:ascii="Corbel" w:hAnsi="Corbel"/>
        </w:rPr>
      </w:pPr>
      <w:r>
        <w:t xml:space="preserve">Le désherbage chimique est depuis près de deux siècles une pratique largement répandue. </w:t>
      </w:r>
      <w:r w:rsidR="00A12239">
        <w:t>Doté de multiples avantages, l</w:t>
      </w:r>
      <w:r>
        <w:t>e glyphosate</w:t>
      </w:r>
      <w:r w:rsidR="00B45E86">
        <w:t xml:space="preserve">, </w:t>
      </w:r>
      <w:r w:rsidR="00186971">
        <w:t>seul herbicide systè</w:t>
      </w:r>
      <w:r w:rsidR="00B45E86">
        <w:t>m</w:t>
      </w:r>
      <w:r w:rsidR="00186971">
        <w:t>e</w:t>
      </w:r>
      <w:r w:rsidR="00B45E86">
        <w:t xml:space="preserve"> utilisable en grandes cultures,</w:t>
      </w:r>
      <w:r>
        <w:t xml:space="preserve"> </w:t>
      </w:r>
      <w:r w:rsidR="00A12239">
        <w:t>est le</w:t>
      </w:r>
      <w:r w:rsidR="007B2985">
        <w:t xml:space="preserve"> produit désherbant</w:t>
      </w:r>
      <w:r>
        <w:t xml:space="preserve"> </w:t>
      </w:r>
      <w:r w:rsidR="007B2985">
        <w:t>le plus utilisé</w:t>
      </w:r>
      <w:r w:rsidR="00A12239">
        <w:t>.</w:t>
      </w:r>
      <w:r w:rsidR="007D2D38">
        <w:t xml:space="preserve"> </w:t>
      </w:r>
      <w:r w:rsidR="00A402AF" w:rsidRPr="00EE5AD4">
        <w:rPr>
          <w:rFonts w:ascii="Corbel" w:hAnsi="Corbel"/>
        </w:rPr>
        <w:t>Sur les 60 000 tonnes de produits phyto</w:t>
      </w:r>
      <w:r w:rsidR="00A402AF">
        <w:rPr>
          <w:rFonts w:ascii="Corbel" w:hAnsi="Corbel"/>
        </w:rPr>
        <w:t xml:space="preserve">sanitaires qui </w:t>
      </w:r>
      <w:r w:rsidR="00EB0746">
        <w:rPr>
          <w:rFonts w:ascii="Corbel" w:hAnsi="Corbel"/>
        </w:rPr>
        <w:t>étaient</w:t>
      </w:r>
      <w:r w:rsidR="00A402AF">
        <w:rPr>
          <w:rFonts w:ascii="Corbel" w:hAnsi="Corbel"/>
        </w:rPr>
        <w:t xml:space="preserve"> utilisés</w:t>
      </w:r>
      <w:r w:rsidR="00EB0746">
        <w:rPr>
          <w:rFonts w:ascii="Corbel" w:hAnsi="Corbel"/>
        </w:rPr>
        <w:t xml:space="preserve"> en 2016</w:t>
      </w:r>
      <w:r w:rsidR="00A402AF">
        <w:rPr>
          <w:rFonts w:ascii="Corbel" w:hAnsi="Corbel"/>
        </w:rPr>
        <w:t xml:space="preserve"> chaque année en France</w:t>
      </w:r>
      <w:r w:rsidR="00A402AF" w:rsidRPr="00EE5AD4">
        <w:rPr>
          <w:rFonts w:ascii="Corbel" w:hAnsi="Corbel"/>
        </w:rPr>
        <w:t>, 9</w:t>
      </w:r>
      <w:r w:rsidR="00A402AF">
        <w:rPr>
          <w:rFonts w:ascii="Corbel" w:hAnsi="Corbel"/>
        </w:rPr>
        <w:t> </w:t>
      </w:r>
      <w:r w:rsidR="00A402AF" w:rsidRPr="00EE5AD4">
        <w:rPr>
          <w:rFonts w:ascii="Corbel" w:hAnsi="Corbel"/>
        </w:rPr>
        <w:t>000</w:t>
      </w:r>
      <w:r w:rsidR="00A402AF">
        <w:rPr>
          <w:rFonts w:ascii="Corbel" w:hAnsi="Corbel"/>
        </w:rPr>
        <w:t xml:space="preserve"> tonnes </w:t>
      </w:r>
      <w:r w:rsidR="00EB0746">
        <w:rPr>
          <w:rFonts w:ascii="Corbel" w:hAnsi="Corbel"/>
        </w:rPr>
        <w:t>étaient du</w:t>
      </w:r>
      <w:r w:rsidR="00A402AF">
        <w:rPr>
          <w:rFonts w:ascii="Corbel" w:hAnsi="Corbel"/>
        </w:rPr>
        <w:t xml:space="preserve"> glyphosate</w:t>
      </w:r>
      <w:r w:rsidR="007D2D38">
        <w:rPr>
          <w:rFonts w:ascii="Corbel" w:hAnsi="Corbel"/>
        </w:rPr>
        <w:t xml:space="preserve"> (soit 15% de la consommation), dont </w:t>
      </w:r>
      <w:r w:rsidR="00A402AF">
        <w:rPr>
          <w:rFonts w:ascii="Corbel" w:hAnsi="Corbel"/>
        </w:rPr>
        <w:t xml:space="preserve">8 000 </w:t>
      </w:r>
      <w:r w:rsidR="00EB0746">
        <w:rPr>
          <w:rFonts w:ascii="Corbel" w:hAnsi="Corbel"/>
        </w:rPr>
        <w:t>par l’agriculture et</w:t>
      </w:r>
      <w:r w:rsidR="00A402AF">
        <w:rPr>
          <w:rFonts w:ascii="Corbel" w:hAnsi="Corbel"/>
        </w:rPr>
        <w:t xml:space="preserve"> 1 500 </w:t>
      </w:r>
      <w:r w:rsidR="00EB0746">
        <w:rPr>
          <w:rFonts w:ascii="Corbel" w:hAnsi="Corbel"/>
        </w:rPr>
        <w:t xml:space="preserve">par les </w:t>
      </w:r>
      <w:r w:rsidR="00A402AF">
        <w:rPr>
          <w:rFonts w:ascii="Corbel" w:hAnsi="Corbel"/>
        </w:rPr>
        <w:t>espace</w:t>
      </w:r>
      <w:r w:rsidR="00EB0746">
        <w:rPr>
          <w:rFonts w:ascii="Corbel" w:hAnsi="Corbel"/>
        </w:rPr>
        <w:t>s</w:t>
      </w:r>
      <w:r w:rsidR="00A402AF">
        <w:rPr>
          <w:rFonts w:ascii="Corbel" w:hAnsi="Corbel"/>
        </w:rPr>
        <w:t xml:space="preserve"> public</w:t>
      </w:r>
      <w:r w:rsidR="00EB0746">
        <w:rPr>
          <w:rFonts w:ascii="Corbel" w:hAnsi="Corbel"/>
        </w:rPr>
        <w:t>s</w:t>
      </w:r>
      <w:r w:rsidR="00A402AF">
        <w:rPr>
          <w:rFonts w:ascii="Corbel" w:hAnsi="Corbel"/>
        </w:rPr>
        <w:t xml:space="preserve"> et les particuliers</w:t>
      </w:r>
      <w:r w:rsidR="00EB0746">
        <w:rPr>
          <w:rFonts w:ascii="Corbel" w:hAnsi="Corbel"/>
        </w:rPr>
        <w:t>.</w:t>
      </w:r>
      <w:r w:rsidR="00FE40DB">
        <w:rPr>
          <w:rFonts w:ascii="Corbel" w:hAnsi="Corbel"/>
        </w:rPr>
        <w:t xml:space="preserve"> Depuis 2017, son utilisation est néanmoins proscrite pour les espaces publics, et devrait l’être à partir de janvier 2019 pour les particuliers.</w:t>
      </w:r>
      <w:r w:rsidR="007D2D38">
        <w:rPr>
          <w:rFonts w:ascii="Corbel" w:hAnsi="Corbel"/>
        </w:rPr>
        <w:t xml:space="preserve"> </w:t>
      </w:r>
    </w:p>
    <w:p w14:paraId="5149B763" w14:textId="532CDF49" w:rsidR="00BE0A8F" w:rsidRDefault="008F7DD1" w:rsidP="00A402AF">
      <w:pPr>
        <w:rPr>
          <w:rFonts w:ascii="Corbel" w:hAnsi="Corbel"/>
        </w:rPr>
      </w:pPr>
      <w:r>
        <w:rPr>
          <w:rFonts w:ascii="Corbel" w:hAnsi="Corbel"/>
        </w:rPr>
        <w:t>L’utilisation des produits phytosanitaires fait aujourd’hui l’objet d’</w:t>
      </w:r>
      <w:r w:rsidR="000238D4">
        <w:rPr>
          <w:rFonts w:ascii="Corbel" w:hAnsi="Corbel"/>
        </w:rPr>
        <w:t>un impor</w:t>
      </w:r>
      <w:r w:rsidR="001A0CF1">
        <w:rPr>
          <w:rFonts w:ascii="Corbel" w:hAnsi="Corbel"/>
        </w:rPr>
        <w:t xml:space="preserve">tant débat. Il s’inscrit dans un mouvement plus général de méfiance vis-à-vis de tous les produits chimiques et d’attirance symétrique pour toutes les pratiques réputées « naturelles ». Si les termes de ce débat sont connus depuis longtemps, ils </w:t>
      </w:r>
      <w:r w:rsidR="000477FD">
        <w:rPr>
          <w:rFonts w:ascii="Corbel" w:hAnsi="Corbel"/>
        </w:rPr>
        <w:t xml:space="preserve">se structurent depuis quelques années autour d’une tendance troublante : la remise en cause, implicite ou non, </w:t>
      </w:r>
      <w:r w:rsidR="00000595">
        <w:rPr>
          <w:rFonts w:ascii="Corbel" w:hAnsi="Corbel"/>
        </w:rPr>
        <w:t xml:space="preserve">des avis scientifiques et leur mise sur un pied d’égalité </w:t>
      </w:r>
      <w:r w:rsidR="0022497E">
        <w:rPr>
          <w:rFonts w:ascii="Corbel" w:hAnsi="Corbel"/>
        </w:rPr>
        <w:t>avec des opinions qui, pour être respectables, n’en sont pas moins av</w:t>
      </w:r>
      <w:r w:rsidR="006764FB">
        <w:rPr>
          <w:rFonts w:ascii="Corbel" w:hAnsi="Corbel"/>
        </w:rPr>
        <w:t>ant tout le reflets d’</w:t>
      </w:r>
      <w:r w:rsidR="00B45E86">
        <w:rPr>
          <w:rFonts w:ascii="Corbel" w:hAnsi="Corbel"/>
        </w:rPr>
        <w:t>idées</w:t>
      </w:r>
      <w:r w:rsidR="00300AAB">
        <w:rPr>
          <w:rFonts w:ascii="Corbel" w:hAnsi="Corbel"/>
        </w:rPr>
        <w:t xml:space="preserve"> </w:t>
      </w:r>
      <w:r w:rsidR="006764FB">
        <w:rPr>
          <w:rFonts w:ascii="Corbel" w:hAnsi="Corbel"/>
        </w:rPr>
        <w:t>et de</w:t>
      </w:r>
      <w:r w:rsidR="008D1B73">
        <w:rPr>
          <w:rFonts w:ascii="Corbel" w:hAnsi="Corbel"/>
        </w:rPr>
        <w:t xml:space="preserve"> prises d</w:t>
      </w:r>
      <w:r w:rsidR="0022497E">
        <w:rPr>
          <w:rFonts w:ascii="Corbel" w:hAnsi="Corbel"/>
        </w:rPr>
        <w:t>e</w:t>
      </w:r>
      <w:r w:rsidR="008D1B73">
        <w:rPr>
          <w:rFonts w:ascii="Corbel" w:hAnsi="Corbel"/>
        </w:rPr>
        <w:t xml:space="preserve"> </w:t>
      </w:r>
      <w:r w:rsidR="0022497E">
        <w:rPr>
          <w:rFonts w:ascii="Corbel" w:hAnsi="Corbel"/>
        </w:rPr>
        <w:t>positions idéologiques</w:t>
      </w:r>
      <w:r w:rsidR="008D1B73">
        <w:rPr>
          <w:rFonts w:ascii="Corbel" w:hAnsi="Corbel"/>
        </w:rPr>
        <w:t xml:space="preserve">. </w:t>
      </w:r>
      <w:r w:rsidR="00384301">
        <w:rPr>
          <w:rFonts w:ascii="Corbel" w:hAnsi="Corbel"/>
        </w:rPr>
        <w:t>A l’objectivité s</w:t>
      </w:r>
      <w:r w:rsidR="006764FB">
        <w:rPr>
          <w:rFonts w:ascii="Corbel" w:hAnsi="Corbel"/>
        </w:rPr>
        <w:t>cientifique</w:t>
      </w:r>
      <w:r w:rsidR="00384301">
        <w:rPr>
          <w:rFonts w:ascii="Corbel" w:hAnsi="Corbel"/>
        </w:rPr>
        <w:t xml:space="preserve"> est ainsi opposée la subjectivité passionnée et militante. Au principe de falsifiabilité (qui pose qu’une théorie est réputée exacte jusqu’à ce qu’elle soit prouvée fausse) est opposée une version déformée du principe de précaution selon lequel les produits chimiques sont mauvais </w:t>
      </w:r>
      <w:r w:rsidR="00BE0A8F" w:rsidRPr="00BE0A8F">
        <w:rPr>
          <w:rFonts w:ascii="Corbel" w:hAnsi="Corbel"/>
          <w:i/>
        </w:rPr>
        <w:t>a priori</w:t>
      </w:r>
      <w:r w:rsidR="00384301">
        <w:rPr>
          <w:rFonts w:ascii="Corbel" w:hAnsi="Corbel"/>
        </w:rPr>
        <w:t>. Au principe d’expérimentation suivant un protocole strict et prenant en compte des conditions particulière</w:t>
      </w:r>
      <w:r w:rsidR="00BE0A8F">
        <w:rPr>
          <w:rFonts w:ascii="Corbel" w:hAnsi="Corbel"/>
        </w:rPr>
        <w:t>s de l’environnement sont opposés</w:t>
      </w:r>
      <w:r w:rsidR="00384301">
        <w:rPr>
          <w:rFonts w:ascii="Corbel" w:hAnsi="Corbel"/>
        </w:rPr>
        <w:t xml:space="preserve"> certains événements ponctuels hâtivement généralisés.</w:t>
      </w:r>
      <w:r w:rsidR="00A50643">
        <w:rPr>
          <w:rFonts w:ascii="Corbel" w:hAnsi="Corbel"/>
        </w:rPr>
        <w:t xml:space="preserve"> </w:t>
      </w:r>
    </w:p>
    <w:p w14:paraId="05E7BB5E" w14:textId="650FA0BB" w:rsidR="008F7DD1" w:rsidRDefault="00A50643" w:rsidP="00A402AF">
      <w:pPr>
        <w:rPr>
          <w:rFonts w:ascii="Corbel" w:hAnsi="Corbel"/>
        </w:rPr>
      </w:pPr>
      <w:r>
        <w:rPr>
          <w:rFonts w:ascii="Corbel" w:hAnsi="Corbel"/>
        </w:rPr>
        <w:t>La pression exercée avec succès par quelques minorités particulièrement active</w:t>
      </w:r>
      <w:r w:rsidR="00B45E86">
        <w:rPr>
          <w:rFonts w:ascii="Corbel" w:hAnsi="Corbel"/>
        </w:rPr>
        <w:t>s</w:t>
      </w:r>
      <w:r>
        <w:rPr>
          <w:rFonts w:ascii="Corbel" w:hAnsi="Corbel"/>
        </w:rPr>
        <w:t xml:space="preserve"> sur l’opinion publique </w:t>
      </w:r>
      <w:r w:rsidR="008B6647">
        <w:rPr>
          <w:rFonts w:ascii="Corbel" w:hAnsi="Corbel"/>
        </w:rPr>
        <w:t>se transmet aux décideurs politique</w:t>
      </w:r>
      <w:r w:rsidR="006521D7">
        <w:rPr>
          <w:rFonts w:ascii="Corbel" w:hAnsi="Corbel"/>
        </w:rPr>
        <w:t>s</w:t>
      </w:r>
      <w:r w:rsidR="008B6647">
        <w:rPr>
          <w:rFonts w:ascii="Corbel" w:hAnsi="Corbel"/>
        </w:rPr>
        <w:t xml:space="preserve">. </w:t>
      </w:r>
      <w:r w:rsidR="00632835">
        <w:rPr>
          <w:rFonts w:ascii="Corbel" w:hAnsi="Corbel"/>
        </w:rPr>
        <w:t>Transformant</w:t>
      </w:r>
      <w:r w:rsidR="008B6647">
        <w:rPr>
          <w:rFonts w:ascii="Corbel" w:hAnsi="Corbel"/>
        </w:rPr>
        <w:t xml:space="preserve"> de</w:t>
      </w:r>
      <w:r w:rsidR="00632835">
        <w:rPr>
          <w:rFonts w:ascii="Corbel" w:hAnsi="Corbel"/>
        </w:rPr>
        <w:t>s</w:t>
      </w:r>
      <w:r w:rsidR="008B6647">
        <w:rPr>
          <w:rFonts w:ascii="Corbel" w:hAnsi="Corbel"/>
        </w:rPr>
        <w:t xml:space="preserve"> questions scientifiques</w:t>
      </w:r>
      <w:r w:rsidR="00632835">
        <w:rPr>
          <w:rFonts w:ascii="Corbel" w:hAnsi="Corbel"/>
        </w:rPr>
        <w:t xml:space="preserve"> en supports de communication</w:t>
      </w:r>
      <w:r w:rsidR="008B6647">
        <w:rPr>
          <w:rFonts w:ascii="Corbel" w:hAnsi="Corbel"/>
        </w:rPr>
        <w:t xml:space="preserve"> </w:t>
      </w:r>
      <w:r w:rsidR="00632835">
        <w:rPr>
          <w:rFonts w:ascii="Corbel" w:hAnsi="Corbel"/>
        </w:rPr>
        <w:t xml:space="preserve">politique, </w:t>
      </w:r>
      <w:r w:rsidR="006521D7">
        <w:rPr>
          <w:rFonts w:ascii="Corbel" w:hAnsi="Corbel"/>
        </w:rPr>
        <w:t>ils ne font guère progresser le débat, préférant trop souvent relayer les arguments les moins solides et les prises de position péremptoires. C’est pour cette raison qu’il nous a paru important de tenter d’éclairer les enjeux du débat afin de lui permettre, autant que possible, de quitter le domaine des passions et de l’idéologie pour revenir à celui des faits.</w:t>
      </w:r>
      <w:r w:rsidR="003C4CE2">
        <w:rPr>
          <w:rFonts w:ascii="Corbel" w:hAnsi="Corbel"/>
        </w:rPr>
        <w:t xml:space="preserve"> </w:t>
      </w:r>
    </w:p>
    <w:p w14:paraId="06482ADC" w14:textId="49EC9BDA" w:rsidR="00294079" w:rsidRDefault="00294079" w:rsidP="00A402AF">
      <w:pPr>
        <w:rPr>
          <w:rFonts w:ascii="Corbel" w:hAnsi="Corbel"/>
        </w:rPr>
      </w:pPr>
      <w:r>
        <w:t>L</w:t>
      </w:r>
      <w:r w:rsidRPr="00FD5C05">
        <w:t>e glyphosate</w:t>
      </w:r>
      <w:r>
        <w:t xml:space="preserve"> est un herbicide utilisé</w:t>
      </w:r>
      <w:r w:rsidR="00BE0A8F">
        <w:t xml:space="preserve"> depuis 40 ans</w:t>
      </w:r>
      <w:r w:rsidRPr="00FD5C05">
        <w:t xml:space="preserve"> dont l’innocuité a été confirmée à chaque renouvellement de son auto</w:t>
      </w:r>
      <w:r>
        <w:t>risation de mise sur le marché. La molécule entre</w:t>
      </w:r>
      <w:r w:rsidRPr="00FD5C05">
        <w:t xml:space="preserve"> dans la composition d’un certain nombre d’herbicides dont le plus connu est le Round up. Les avis des trois principales agences sanitaires françaises et européennes (l’EFSA, l’ANSES et l’ECHA) </w:t>
      </w:r>
      <w:r>
        <w:t xml:space="preserve">sont </w:t>
      </w:r>
      <w:r w:rsidRPr="00FD5C05">
        <w:t xml:space="preserve">unanimes : le glyphosate est non cancérogène, son utilisation est sans risque pour la santé publique et sa dégradation rapide lui permet avoir </w:t>
      </w:r>
      <w:r w:rsidR="00B45E86">
        <w:t xml:space="preserve">peu </w:t>
      </w:r>
      <w:r w:rsidRPr="00FD5C05">
        <w:t>d’impact sur l’environnement.</w:t>
      </w:r>
      <w:r>
        <w:t xml:space="preserve"> Pourt</w:t>
      </w:r>
      <w:r w:rsidR="00BE0A8F">
        <w:t>ant, des voix, y compris parmi l</w:t>
      </w:r>
      <w:r>
        <w:t>es décideurs politiques importants, se sont élevées pour prendre position contre le glyphosate, si bien que la possibilité d’une décision de la France d’interdire entièrement son usage</w:t>
      </w:r>
      <w:r w:rsidR="00BE0A8F">
        <w:t xml:space="preserve"> en dépit des avis scientifiques</w:t>
      </w:r>
      <w:r>
        <w:t xml:space="preserve"> ne peut, à l’heure où nous écrivons, être totalement écartée.</w:t>
      </w:r>
    </w:p>
    <w:p w14:paraId="05190AD1" w14:textId="3DE12796" w:rsidR="00A402AF" w:rsidRDefault="007D2D38" w:rsidP="00A402AF">
      <w:pPr>
        <w:rPr>
          <w:rFonts w:ascii="Corbel" w:hAnsi="Corbel"/>
        </w:rPr>
      </w:pPr>
      <w:r w:rsidRPr="007D2D38">
        <w:rPr>
          <w:rFonts w:ascii="Corbel" w:hAnsi="Corbel"/>
          <w:b/>
        </w:rPr>
        <w:t>Cette étude a pour objectif d’envisager les conséquences prévisibles d’une interdiction de l’utilisation du glyphosate à l’agriculture et aux autres usages professionnels</w:t>
      </w:r>
      <w:r w:rsidR="003C4CE2">
        <w:rPr>
          <w:rStyle w:val="Appelnotedebasdep"/>
          <w:rFonts w:ascii="Corbel" w:hAnsi="Corbel"/>
          <w:b/>
        </w:rPr>
        <w:footnoteReference w:id="1"/>
      </w:r>
      <w:r>
        <w:rPr>
          <w:rFonts w:ascii="Corbel" w:hAnsi="Corbel"/>
        </w:rPr>
        <w:t>.</w:t>
      </w:r>
      <w:r w:rsidR="003C4CE2">
        <w:rPr>
          <w:rFonts w:ascii="Corbel" w:hAnsi="Corbel"/>
        </w:rPr>
        <w:t xml:space="preserve"> </w:t>
      </w:r>
    </w:p>
    <w:p w14:paraId="72923416" w14:textId="77777777" w:rsidR="008F7DD1" w:rsidRPr="00EE5AD4" w:rsidRDefault="008F7DD1" w:rsidP="00A402AF">
      <w:pPr>
        <w:rPr>
          <w:rFonts w:ascii="Corbel" w:hAnsi="Corbel"/>
        </w:rPr>
      </w:pPr>
    </w:p>
    <w:p w14:paraId="0CF3EEB3" w14:textId="77777777" w:rsidR="00A402AF" w:rsidRDefault="00A402AF" w:rsidP="0029300D"/>
    <w:p w14:paraId="09C95CA5" w14:textId="77777777" w:rsidR="00A402AF" w:rsidRPr="0029300D" w:rsidRDefault="00A402AF" w:rsidP="0029300D"/>
    <w:p w14:paraId="6124B313" w14:textId="2500DC45" w:rsidR="00B7660D" w:rsidRDefault="0071683A" w:rsidP="0011699B">
      <w:pPr>
        <w:pStyle w:val="Titre1"/>
      </w:pPr>
      <w:bookmarkStart w:id="2" w:name="_Toc360458869"/>
      <w:r>
        <w:t>Un débat scientifique qui fait l’objet d’</w:t>
      </w:r>
      <w:r w:rsidR="00D460E7">
        <w:t>appropriation</w:t>
      </w:r>
      <w:r w:rsidR="002E5DE3">
        <w:t>s</w:t>
      </w:r>
      <w:r w:rsidR="00D460E7">
        <w:t xml:space="preserve"> politique</w:t>
      </w:r>
      <w:r w:rsidR="002E5DE3">
        <w:t>s</w:t>
      </w:r>
      <w:r w:rsidR="00723E74">
        <w:t xml:space="preserve"> déformantes</w:t>
      </w:r>
      <w:bookmarkEnd w:id="2"/>
    </w:p>
    <w:p w14:paraId="3481E0D9" w14:textId="2D45DC24" w:rsidR="000B316E" w:rsidRPr="009C1111" w:rsidRDefault="009C1111" w:rsidP="009C1111">
      <w:pPr>
        <w:rPr>
          <w:rFonts w:ascii="Corbel" w:hAnsi="Corbel"/>
        </w:rPr>
      </w:pPr>
      <w:r>
        <w:rPr>
          <w:rFonts w:ascii="Corbel" w:hAnsi="Corbel"/>
        </w:rPr>
        <w:t>Depuis le 1</w:t>
      </w:r>
      <w:r w:rsidRPr="006B3FFD">
        <w:rPr>
          <w:rFonts w:ascii="Corbel" w:hAnsi="Corbel"/>
          <w:vertAlign w:val="superscript"/>
        </w:rPr>
        <w:t>er</w:t>
      </w:r>
      <w:r>
        <w:rPr>
          <w:rFonts w:ascii="Corbel" w:hAnsi="Corbel"/>
        </w:rPr>
        <w:t xml:space="preserve"> janvier 2017,</w:t>
      </w:r>
      <w:r w:rsidR="000B316E">
        <w:rPr>
          <w:rFonts w:ascii="Corbel" w:hAnsi="Corbel"/>
        </w:rPr>
        <w:t xml:space="preserve"> </w:t>
      </w:r>
      <w:r>
        <w:rPr>
          <w:rFonts w:ascii="Corbel" w:hAnsi="Corbel"/>
        </w:rPr>
        <w:t xml:space="preserve">les </w:t>
      </w:r>
      <w:r w:rsidR="000B316E">
        <w:rPr>
          <w:rFonts w:ascii="Corbel" w:hAnsi="Corbel"/>
        </w:rPr>
        <w:t>produits à base de glyphosate</w:t>
      </w:r>
      <w:r>
        <w:rPr>
          <w:rFonts w:ascii="Corbel" w:hAnsi="Corbel"/>
        </w:rPr>
        <w:t xml:space="preserve"> destinés à la vente</w:t>
      </w:r>
      <w:r w:rsidR="000B316E">
        <w:rPr>
          <w:rFonts w:ascii="Corbel" w:hAnsi="Corbel"/>
        </w:rPr>
        <w:t xml:space="preserve"> pour les particuliers</w:t>
      </w:r>
      <w:r>
        <w:rPr>
          <w:rFonts w:ascii="Corbel" w:hAnsi="Corbel"/>
        </w:rPr>
        <w:t xml:space="preserve"> doivent être mis sous clé (et seront interdits à la vente aux particuliers en 2018).</w:t>
      </w:r>
      <w:r w:rsidR="000B316E">
        <w:rPr>
          <w:rFonts w:ascii="Corbel" w:hAnsi="Corbel"/>
        </w:rPr>
        <w:t xml:space="preserve"> </w:t>
      </w:r>
      <w:r>
        <w:rPr>
          <w:rFonts w:ascii="Corbel" w:hAnsi="Corbel"/>
        </w:rPr>
        <w:t>L</w:t>
      </w:r>
      <w:r w:rsidR="000B316E">
        <w:rPr>
          <w:rFonts w:ascii="Corbel" w:hAnsi="Corbel"/>
        </w:rPr>
        <w:t>es autorités publiques (collectivités locales)</w:t>
      </w:r>
      <w:r>
        <w:rPr>
          <w:rFonts w:ascii="Corbel" w:hAnsi="Corbel"/>
        </w:rPr>
        <w:t xml:space="preserve"> n’ont quant à elles plus la possibilité de l’utiliser</w:t>
      </w:r>
      <w:r w:rsidR="00B45E86">
        <w:rPr>
          <w:rFonts w:ascii="Corbel" w:hAnsi="Corbel"/>
        </w:rPr>
        <w:t xml:space="preserve"> dans les espaces publics</w:t>
      </w:r>
      <w:r w:rsidR="000B316E">
        <w:rPr>
          <w:rFonts w:ascii="Corbel" w:hAnsi="Corbel"/>
        </w:rPr>
        <w:t>.</w:t>
      </w:r>
      <w:r w:rsidRPr="009C1111">
        <w:rPr>
          <w:rFonts w:ascii="Corbel" w:hAnsi="Corbel"/>
        </w:rPr>
        <w:t xml:space="preserve"> </w:t>
      </w:r>
      <w:r>
        <w:rPr>
          <w:rFonts w:ascii="Corbel" w:hAnsi="Corbel"/>
        </w:rPr>
        <w:t xml:space="preserve">A l’heure actuelle, seuls les usages professionnels ne font pas encore l’objet de restriction. Mais le renouvellement de l’autorisation de mise sur le marché de la molécule d’une part et des produits qui l’utilisent d’autre part </w:t>
      </w:r>
      <w:r w:rsidR="00DA1989">
        <w:rPr>
          <w:rFonts w:ascii="Corbel" w:hAnsi="Corbel"/>
        </w:rPr>
        <w:t>a enflammé un débat dont il importe de rappeler les grandes lignes.</w:t>
      </w:r>
      <w:r>
        <w:rPr>
          <w:rFonts w:ascii="Corbel" w:hAnsi="Corbel"/>
        </w:rPr>
        <w:t xml:space="preserve"> </w:t>
      </w:r>
    </w:p>
    <w:p w14:paraId="3FE0390A" w14:textId="166F035F" w:rsidR="0029300D" w:rsidRDefault="0029300D" w:rsidP="0011699B">
      <w:pPr>
        <w:pStyle w:val="Titre2"/>
      </w:pPr>
      <w:bookmarkStart w:id="3" w:name="_Toc360458870"/>
      <w:r>
        <w:t xml:space="preserve">Glyphosate : </w:t>
      </w:r>
      <w:r w:rsidR="00982F84">
        <w:t>des expertises ne faisant pas apparaître risque pour la santé</w:t>
      </w:r>
      <w:bookmarkEnd w:id="3"/>
    </w:p>
    <w:p w14:paraId="5A6D913B" w14:textId="270331FB" w:rsidR="00DA1989" w:rsidRPr="00DA1989" w:rsidRDefault="00DA1989" w:rsidP="00DA1989">
      <w:r>
        <w:t>Comme toute substance chimique autorisée à la vente, la glyphosate fait l’objet d’un processus régulier d’autorisation qui cherche à chaque fois à tenir compte des avis les plus récents de la science pour se prononcer.</w:t>
      </w:r>
    </w:p>
    <w:p w14:paraId="3739F081" w14:textId="47E6737E" w:rsidR="0082135E" w:rsidRDefault="0082135E" w:rsidP="00E25B20">
      <w:pPr>
        <w:pStyle w:val="Titre3"/>
      </w:pPr>
      <w:bookmarkStart w:id="4" w:name="_Toc360458871"/>
      <w:r>
        <w:t>Une procédure stricte pour la mise sur le marché</w:t>
      </w:r>
      <w:bookmarkEnd w:id="4"/>
    </w:p>
    <w:p w14:paraId="78851384" w14:textId="3CA387A7" w:rsidR="0082135E" w:rsidRPr="00EE5AD4" w:rsidRDefault="0082135E" w:rsidP="00E25B20">
      <w:pPr>
        <w:rPr>
          <w:rFonts w:ascii="Corbel" w:hAnsi="Corbel"/>
        </w:rPr>
      </w:pPr>
      <w:r w:rsidRPr="00EE5AD4">
        <w:rPr>
          <w:rFonts w:ascii="Corbel" w:hAnsi="Corbel"/>
        </w:rPr>
        <w:t>Lorsqu’une molécule phytosanitaire doit être autorisée, celle</w:t>
      </w:r>
      <w:r w:rsidR="00E8552A">
        <w:rPr>
          <w:rFonts w:ascii="Corbel" w:hAnsi="Corbel"/>
        </w:rPr>
        <w:t>-ci suit la procédure suivante.</w:t>
      </w:r>
    </w:p>
    <w:p w14:paraId="244A9F59" w14:textId="5C64CE97" w:rsidR="0082135E" w:rsidRPr="00EE5AD4" w:rsidRDefault="0082135E" w:rsidP="00E25B20">
      <w:pPr>
        <w:rPr>
          <w:rFonts w:ascii="Corbel" w:hAnsi="Corbel"/>
        </w:rPr>
      </w:pPr>
      <w:r w:rsidRPr="00EE5AD4">
        <w:rPr>
          <w:rFonts w:ascii="Corbel" w:hAnsi="Corbel"/>
        </w:rPr>
        <w:t xml:space="preserve">Les </w:t>
      </w:r>
      <w:r w:rsidRPr="00E8552A">
        <w:rPr>
          <w:rFonts w:ascii="Corbel" w:hAnsi="Corbel"/>
        </w:rPr>
        <w:t>substances actives</w:t>
      </w:r>
      <w:r w:rsidRPr="00EE5AD4">
        <w:rPr>
          <w:rFonts w:ascii="Corbel" w:hAnsi="Corbel"/>
        </w:rPr>
        <w:t xml:space="preserve"> sont déposées pour évaluation au niveau communautaire, un </w:t>
      </w:r>
      <w:r w:rsidR="00E8552A">
        <w:rPr>
          <w:rFonts w:ascii="Corbel" w:hAnsi="Corbel"/>
        </w:rPr>
        <w:t>E</w:t>
      </w:r>
      <w:r w:rsidRPr="00EE5AD4">
        <w:rPr>
          <w:rFonts w:ascii="Corbel" w:hAnsi="Corbel"/>
        </w:rPr>
        <w:t>tat-membre est chargé de son évaluation. Puis un vote est organisé à la majorité qual</w:t>
      </w:r>
      <w:r w:rsidR="00B55470">
        <w:rPr>
          <w:rFonts w:ascii="Corbel" w:hAnsi="Corbel"/>
        </w:rPr>
        <w:t xml:space="preserve">ifiée avec l’ensemble des Etats </w:t>
      </w:r>
      <w:r w:rsidRPr="00EE5AD4">
        <w:rPr>
          <w:rFonts w:ascii="Corbel" w:hAnsi="Corbel"/>
        </w:rPr>
        <w:t xml:space="preserve">membres. </w:t>
      </w:r>
      <w:r w:rsidR="009723BD">
        <w:rPr>
          <w:rFonts w:ascii="Corbel" w:hAnsi="Corbel"/>
        </w:rPr>
        <w:t xml:space="preserve">L’autorisation accordée l’est </w:t>
      </w:r>
      <w:r w:rsidRPr="00EE5AD4">
        <w:rPr>
          <w:rFonts w:ascii="Corbel" w:hAnsi="Corbel"/>
        </w:rPr>
        <w:t>pour une durée de 10 ans.</w:t>
      </w:r>
    </w:p>
    <w:p w14:paraId="5DCFDE7D" w14:textId="659BE03D" w:rsidR="0082135E" w:rsidRPr="00EE5AD4" w:rsidRDefault="0082135E" w:rsidP="00E25B20">
      <w:pPr>
        <w:rPr>
          <w:rFonts w:ascii="Corbel" w:hAnsi="Corbel"/>
        </w:rPr>
      </w:pPr>
      <w:r w:rsidRPr="00EE5AD4">
        <w:rPr>
          <w:rFonts w:ascii="Corbel" w:hAnsi="Corbel"/>
        </w:rPr>
        <w:t xml:space="preserve">Une fois la substance active autorisée au niveau communautaire, les producteurs de </w:t>
      </w:r>
      <w:r w:rsidR="009723BD">
        <w:rPr>
          <w:rFonts w:ascii="Corbel" w:hAnsi="Corbel"/>
        </w:rPr>
        <w:t xml:space="preserve">produits </w:t>
      </w:r>
      <w:r w:rsidRPr="00EE5AD4">
        <w:rPr>
          <w:rFonts w:ascii="Corbel" w:hAnsi="Corbel"/>
        </w:rPr>
        <w:t>phytosanitaires doivent adresser une demande d’autorisation</w:t>
      </w:r>
      <w:r w:rsidR="00B55470">
        <w:rPr>
          <w:rFonts w:ascii="Corbel" w:hAnsi="Corbel"/>
        </w:rPr>
        <w:t xml:space="preserve">, produit par produit, à l’Etat </w:t>
      </w:r>
      <w:r w:rsidRPr="00EE5AD4">
        <w:rPr>
          <w:rFonts w:ascii="Corbel" w:hAnsi="Corbel"/>
        </w:rPr>
        <w:t xml:space="preserve">membre. Ils s’adressent alors aux </w:t>
      </w:r>
      <w:r w:rsidRPr="009723BD">
        <w:rPr>
          <w:rFonts w:ascii="Corbel" w:hAnsi="Corbel"/>
        </w:rPr>
        <w:t>autorités de mise sur le marché (AMM)</w:t>
      </w:r>
      <w:r w:rsidR="0092080D">
        <w:rPr>
          <w:rFonts w:ascii="Corbel" w:hAnsi="Corbel"/>
        </w:rPr>
        <w:t>.</w:t>
      </w:r>
      <w:r w:rsidRPr="00EE5AD4">
        <w:rPr>
          <w:rFonts w:ascii="Corbel" w:hAnsi="Corbel"/>
        </w:rPr>
        <w:t xml:space="preserve"> L’Etat ne peut pas autoriser un produit si son producteur n’en a pas fait la demande. De même, si la substance active a été ré</w:t>
      </w:r>
      <w:r>
        <w:rPr>
          <w:rFonts w:ascii="Corbel" w:hAnsi="Corbel"/>
        </w:rPr>
        <w:t>-</w:t>
      </w:r>
      <w:r w:rsidRPr="00EE5AD4">
        <w:rPr>
          <w:rFonts w:ascii="Corbel" w:hAnsi="Corbel"/>
        </w:rPr>
        <w:t>autorisé</w:t>
      </w:r>
      <w:r>
        <w:rPr>
          <w:rFonts w:ascii="Corbel" w:hAnsi="Corbel"/>
        </w:rPr>
        <w:t>e</w:t>
      </w:r>
      <w:r w:rsidRPr="00EE5AD4">
        <w:rPr>
          <w:rFonts w:ascii="Corbel" w:hAnsi="Corbel"/>
        </w:rPr>
        <w:t xml:space="preserve"> à la fin de la période au niveau communautaire, tous les </w:t>
      </w:r>
      <w:r w:rsidRPr="009723BD">
        <w:rPr>
          <w:rFonts w:ascii="Corbel" w:hAnsi="Corbel"/>
        </w:rPr>
        <w:t>produits commerciaux</w:t>
      </w:r>
      <w:r w:rsidRPr="00EE5AD4">
        <w:rPr>
          <w:rFonts w:ascii="Corbel" w:hAnsi="Corbel"/>
        </w:rPr>
        <w:t xml:space="preserve"> qui l’utilisent sont ré</w:t>
      </w:r>
      <w:r>
        <w:rPr>
          <w:rFonts w:ascii="Corbel" w:hAnsi="Corbel"/>
        </w:rPr>
        <w:t>-</w:t>
      </w:r>
      <w:r w:rsidRPr="00EE5AD4">
        <w:rPr>
          <w:rFonts w:ascii="Corbel" w:hAnsi="Corbel"/>
        </w:rPr>
        <w:t>autorisés au niveau national, sauf demande de l’Etat-membre.</w:t>
      </w:r>
    </w:p>
    <w:p w14:paraId="0A97545B" w14:textId="1523E4D2" w:rsidR="0082135E" w:rsidRPr="00EE5AD4" w:rsidRDefault="0082135E" w:rsidP="00E25B20">
      <w:pPr>
        <w:rPr>
          <w:rFonts w:ascii="Corbel" w:hAnsi="Corbel"/>
        </w:rPr>
      </w:pPr>
      <w:r w:rsidRPr="00EE5AD4">
        <w:rPr>
          <w:rFonts w:ascii="Corbel" w:hAnsi="Corbel"/>
        </w:rPr>
        <w:t xml:space="preserve">Il est prévu </w:t>
      </w:r>
      <w:r w:rsidR="009723BD">
        <w:rPr>
          <w:rFonts w:ascii="Corbel" w:hAnsi="Corbel"/>
        </w:rPr>
        <w:t>dans le règlement communautaire</w:t>
      </w:r>
      <w:r w:rsidR="00B55470">
        <w:rPr>
          <w:rFonts w:ascii="Corbel" w:hAnsi="Corbel"/>
        </w:rPr>
        <w:t xml:space="preserve"> que chaque Etat </w:t>
      </w:r>
      <w:r w:rsidRPr="00EE5AD4">
        <w:rPr>
          <w:rFonts w:ascii="Corbel" w:hAnsi="Corbel"/>
        </w:rPr>
        <w:t xml:space="preserve">membre puisse prononcer des </w:t>
      </w:r>
      <w:r w:rsidRPr="009723BD">
        <w:rPr>
          <w:rFonts w:ascii="Corbel" w:hAnsi="Corbel"/>
        </w:rPr>
        <w:t>dérogations exceptionnelles</w:t>
      </w:r>
      <w:r w:rsidRPr="00EE5AD4">
        <w:rPr>
          <w:rFonts w:ascii="Corbel" w:hAnsi="Corbel"/>
        </w:rPr>
        <w:t xml:space="preserve"> sur des produits au niveau national, tant que ceux-ci n’ont pas d’impact sur les pays voisins. Ces autorisations sont valables pour une durée maximale de 120 jours. En France, pour l’année 2016, le gouvernement a délivré 80</w:t>
      </w:r>
      <w:r w:rsidR="009723BD">
        <w:rPr>
          <w:rFonts w:ascii="Corbel" w:hAnsi="Corbel"/>
        </w:rPr>
        <w:t xml:space="preserve"> de ces</w:t>
      </w:r>
      <w:r w:rsidRPr="00EE5AD4">
        <w:rPr>
          <w:rFonts w:ascii="Corbel" w:hAnsi="Corbel"/>
        </w:rPr>
        <w:t xml:space="preserve"> autorisations dérogatoires</w:t>
      </w:r>
      <w:r w:rsidR="009723BD">
        <w:rPr>
          <w:rStyle w:val="Appelnotedebasdep"/>
          <w:rFonts w:ascii="Corbel" w:hAnsi="Corbel"/>
        </w:rPr>
        <w:footnoteReference w:id="2"/>
      </w:r>
      <w:r w:rsidRPr="00EE5AD4">
        <w:rPr>
          <w:rFonts w:ascii="Corbel" w:hAnsi="Corbel"/>
        </w:rPr>
        <w:t xml:space="preserve">. Celles-ci sont demandées par les </w:t>
      </w:r>
      <w:r w:rsidR="00025914">
        <w:rPr>
          <w:rFonts w:ascii="Corbel" w:hAnsi="Corbel"/>
        </w:rPr>
        <w:t xml:space="preserve">organisations </w:t>
      </w:r>
      <w:r w:rsidRPr="00EE5AD4">
        <w:rPr>
          <w:rFonts w:ascii="Corbel" w:hAnsi="Corbel"/>
        </w:rPr>
        <w:t>professionnel</w:t>
      </w:r>
      <w:r w:rsidR="00025914">
        <w:rPr>
          <w:rFonts w:ascii="Corbel" w:hAnsi="Corbel"/>
        </w:rPr>
        <w:t>le</w:t>
      </w:r>
      <w:r w:rsidRPr="00EE5AD4">
        <w:rPr>
          <w:rFonts w:ascii="Corbel" w:hAnsi="Corbel"/>
        </w:rPr>
        <w:t>s, c'est-à-dire les agricult</w:t>
      </w:r>
      <w:r w:rsidR="009723BD">
        <w:rPr>
          <w:rFonts w:ascii="Corbel" w:hAnsi="Corbel"/>
        </w:rPr>
        <w:t>eurs. L</w:t>
      </w:r>
      <w:r w:rsidRPr="00EE5AD4">
        <w:rPr>
          <w:rFonts w:ascii="Corbel" w:hAnsi="Corbel"/>
        </w:rPr>
        <w:t xml:space="preserve">es </w:t>
      </w:r>
      <w:r w:rsidR="00025914">
        <w:rPr>
          <w:rFonts w:ascii="Corbel" w:hAnsi="Corbel"/>
        </w:rPr>
        <w:t xml:space="preserve">industriels </w:t>
      </w:r>
      <w:r w:rsidRPr="00EE5AD4">
        <w:rPr>
          <w:rFonts w:ascii="Corbel" w:hAnsi="Corbel"/>
        </w:rPr>
        <w:t xml:space="preserve">ne </w:t>
      </w:r>
      <w:r w:rsidR="009723BD">
        <w:rPr>
          <w:rFonts w:ascii="Corbel" w:hAnsi="Corbel"/>
        </w:rPr>
        <w:t>pouvant pas demander de</w:t>
      </w:r>
      <w:r w:rsidRPr="00EE5AD4">
        <w:rPr>
          <w:rFonts w:ascii="Corbel" w:hAnsi="Corbel"/>
        </w:rPr>
        <w:t xml:space="preserve"> dérogations exceptionnelles, ils doivent impérativement passer par la procédure précédente.</w:t>
      </w:r>
    </w:p>
    <w:p w14:paraId="1034E380" w14:textId="643EA0F3" w:rsidR="0082135E" w:rsidRPr="00EE5AD4" w:rsidRDefault="0082135E" w:rsidP="00E25B20">
      <w:pPr>
        <w:rPr>
          <w:rFonts w:ascii="Corbel" w:hAnsi="Corbel"/>
        </w:rPr>
      </w:pPr>
      <w:r w:rsidRPr="00EE5AD4">
        <w:rPr>
          <w:rFonts w:ascii="Corbel" w:hAnsi="Corbel"/>
        </w:rPr>
        <w:t xml:space="preserve">Pour la France, l’AMM dépend de </w:t>
      </w:r>
      <w:r w:rsidRPr="009723BD">
        <w:rPr>
          <w:rFonts w:ascii="Corbel" w:hAnsi="Corbel"/>
        </w:rPr>
        <w:t>l’ANSES</w:t>
      </w:r>
      <w:r w:rsidR="009723BD">
        <w:rPr>
          <w:rFonts w:ascii="Corbel" w:hAnsi="Corbel"/>
        </w:rPr>
        <w:t>. Cette dernière</w:t>
      </w:r>
      <w:r w:rsidRPr="00EE5AD4">
        <w:rPr>
          <w:rFonts w:ascii="Corbel" w:hAnsi="Corbel"/>
        </w:rPr>
        <w:t xml:space="preserve"> possède </w:t>
      </w:r>
      <w:r w:rsidR="00025914">
        <w:rPr>
          <w:rFonts w:ascii="Corbel" w:hAnsi="Corbel"/>
        </w:rPr>
        <w:t xml:space="preserve">désormais </w:t>
      </w:r>
      <w:r w:rsidR="009723BD">
        <w:rPr>
          <w:rFonts w:ascii="Corbel" w:hAnsi="Corbel"/>
        </w:rPr>
        <w:t>à la fois</w:t>
      </w:r>
      <w:r w:rsidRPr="00EE5AD4">
        <w:rPr>
          <w:rFonts w:ascii="Corbel" w:hAnsi="Corbel"/>
        </w:rPr>
        <w:t xml:space="preserve"> </w:t>
      </w:r>
      <w:r w:rsidR="009723BD">
        <w:rPr>
          <w:rFonts w:ascii="Corbel" w:hAnsi="Corbel"/>
        </w:rPr>
        <w:t xml:space="preserve">la compétence </w:t>
      </w:r>
      <w:r w:rsidRPr="00EE5AD4">
        <w:rPr>
          <w:rFonts w:ascii="Corbel" w:hAnsi="Corbel"/>
        </w:rPr>
        <w:t>d’évaluation et celle de décision. Elle doit évaluer les risques de tel ou tel produit, puis elle autorise ou non le produit à la vente. L’autorisation est toujours conditionnée à certains usages, avec certaines doses et certaines conditions particulières d’utilisation.</w:t>
      </w:r>
    </w:p>
    <w:p w14:paraId="4114D37A" w14:textId="521F96BB" w:rsidR="0082135E" w:rsidRPr="0082135E" w:rsidRDefault="0082135E" w:rsidP="00E25B20">
      <w:pPr>
        <w:pStyle w:val="Titre3"/>
      </w:pPr>
      <w:bookmarkStart w:id="5" w:name="_Toc360458872"/>
      <w:r>
        <w:t xml:space="preserve">Les avis des agences compétentes concernant le </w:t>
      </w:r>
      <w:r w:rsidRPr="0082135E">
        <w:rPr>
          <w:rFonts w:ascii="Corbel" w:hAnsi="Corbel"/>
        </w:rPr>
        <w:t>glyphosate</w:t>
      </w:r>
      <w:bookmarkEnd w:id="5"/>
    </w:p>
    <w:p w14:paraId="5060E728" w14:textId="219526C4" w:rsidR="0037180D" w:rsidRPr="00E25B20" w:rsidRDefault="0092080D" w:rsidP="00E25B20">
      <w:pPr>
        <w:rPr>
          <w:rFonts w:ascii="Corbel" w:hAnsi="Corbel"/>
        </w:rPr>
      </w:pPr>
      <w:r>
        <w:rPr>
          <w:rFonts w:ascii="Corbel" w:hAnsi="Corbel"/>
        </w:rPr>
        <w:t>Suivant la procédure habituelle, l</w:t>
      </w:r>
      <w:r w:rsidRPr="00EE5AD4">
        <w:rPr>
          <w:rFonts w:ascii="Corbel" w:hAnsi="Corbel"/>
        </w:rPr>
        <w:t>a</w:t>
      </w:r>
      <w:r>
        <w:rPr>
          <w:rFonts w:ascii="Corbel" w:hAnsi="Corbel"/>
        </w:rPr>
        <w:t xml:space="preserve"> procédure de ré-approbation du glyphosate a commencé en mai 2012. Après avis du BVL/BFR (l’autorité compétente en l’Allemagne, qui est l’Etat-Membre rapporteur désigné sur ce dossier), la C</w:t>
      </w:r>
      <w:r w:rsidRPr="00EE5AD4">
        <w:rPr>
          <w:rFonts w:ascii="Corbel" w:hAnsi="Corbel"/>
        </w:rPr>
        <w:t xml:space="preserve">ommission a missionné l’EFSA </w:t>
      </w:r>
      <w:r w:rsidRPr="0092080D">
        <w:rPr>
          <w:rFonts w:ascii="Corbel" w:hAnsi="Corbel"/>
          <w:b/>
        </w:rPr>
        <w:t>qui a conclu que la substance ne présentait pas de risque cancérogène</w:t>
      </w:r>
      <w:r w:rsidRPr="00EE5AD4">
        <w:rPr>
          <w:rFonts w:ascii="Corbel" w:hAnsi="Corbel"/>
        </w:rPr>
        <w:t xml:space="preserve">. </w:t>
      </w:r>
    </w:p>
    <w:p w14:paraId="3090BC8E" w14:textId="54FF813D" w:rsidR="0037180D" w:rsidRDefault="0037180D" w:rsidP="0037180D">
      <w:r>
        <w:t>«</w:t>
      </w:r>
      <w:r w:rsidRPr="0037180D">
        <w:rPr>
          <w:i/>
        </w:rPr>
        <w:t>Le groupe d'examen par les pairs a conclu qu'il est improbable que le glyphosate soit génotoxique</w:t>
      </w:r>
      <w:r w:rsidR="00B55470">
        <w:rPr>
          <w:i/>
        </w:rPr>
        <w:t xml:space="preserve"> </w:t>
      </w:r>
      <w:r w:rsidRPr="0037180D">
        <w:rPr>
          <w:i/>
        </w:rPr>
        <w:t>(c.à.d. qu'il endommage l'ADN) ou qu'il constitue une menace cancérogène pour l'homme. Les experts n'ont pas proposé que le glyphosate soit catégorisé comme cancérogène dans la réglementation de l’UE sur la classification, l'étiquetage et l'emballage des substances chimiques. En particulier, tous les experts des États membres, à une exception près, ont convenu que ni les données épidémiologiques (portant sur l’homme), ni les éléments issus d’études animales n’ont démontré de causalité entre l'exposition au glyphosate et le développement de cancer chez les humains</w:t>
      </w:r>
      <w:r>
        <w:rPr>
          <w:rStyle w:val="Appelnotedebasdep"/>
          <w:i/>
        </w:rPr>
        <w:footnoteReference w:id="3"/>
      </w:r>
      <w:r>
        <w:t xml:space="preserve">.» </w:t>
      </w:r>
    </w:p>
    <w:p w14:paraId="22769388" w14:textId="62B74AB0" w:rsidR="00E351FA" w:rsidRDefault="00E46948" w:rsidP="00DD1A7B">
      <w:pPr>
        <w:rPr>
          <w:rFonts w:ascii="Corbel" w:hAnsi="Corbel"/>
        </w:rPr>
      </w:pPr>
      <w:r>
        <w:rPr>
          <w:rFonts w:ascii="Corbel" w:hAnsi="Corbel"/>
        </w:rPr>
        <w:t>Les conclusions de l’EFSA intégraient le</w:t>
      </w:r>
      <w:r w:rsidR="00DD1A7B" w:rsidRPr="00EE5AD4">
        <w:rPr>
          <w:rFonts w:ascii="Corbel" w:hAnsi="Corbel"/>
        </w:rPr>
        <w:t xml:space="preserve"> rapport du CIRC, une agence </w:t>
      </w:r>
      <w:r w:rsidR="00DD1A7B">
        <w:rPr>
          <w:rFonts w:ascii="Corbel" w:hAnsi="Corbel"/>
        </w:rPr>
        <w:t>travaillant pour le compte de</w:t>
      </w:r>
      <w:r w:rsidR="00DD1A7B" w:rsidRPr="00EE5AD4">
        <w:rPr>
          <w:rFonts w:ascii="Corbel" w:hAnsi="Corbel"/>
        </w:rPr>
        <w:t xml:space="preserve"> l’OMS</w:t>
      </w:r>
      <w:r w:rsidR="00DD1A7B">
        <w:rPr>
          <w:rStyle w:val="Appelnotedebasdep"/>
          <w:rFonts w:ascii="Corbel" w:hAnsi="Corbel"/>
        </w:rPr>
        <w:footnoteReference w:id="4"/>
      </w:r>
      <w:r w:rsidR="00DD1A7B" w:rsidRPr="00EE5AD4">
        <w:rPr>
          <w:rFonts w:ascii="Corbel" w:hAnsi="Corbel"/>
        </w:rPr>
        <w:t xml:space="preserve">, </w:t>
      </w:r>
      <w:r>
        <w:rPr>
          <w:rFonts w:ascii="Corbel" w:hAnsi="Corbel"/>
        </w:rPr>
        <w:t xml:space="preserve">qui </w:t>
      </w:r>
      <w:r w:rsidR="00DD1A7B" w:rsidRPr="005D1754">
        <w:rPr>
          <w:rFonts w:ascii="Corbel" w:hAnsi="Corbel"/>
        </w:rPr>
        <w:t>aurait conclu début 2015 que la substance présentait des risques cancérogènes.</w:t>
      </w:r>
      <w:r w:rsidR="00DD1A7B">
        <w:rPr>
          <w:rFonts w:ascii="Corbel" w:hAnsi="Corbel"/>
        </w:rPr>
        <w:t xml:space="preserve"> </w:t>
      </w:r>
      <w:r>
        <w:rPr>
          <w:rFonts w:ascii="Corbel" w:hAnsi="Corbel"/>
        </w:rPr>
        <w:t>Cependant ce rapport demande à être interprété avec une grande précaution. I</w:t>
      </w:r>
      <w:r w:rsidR="00DD1A7B">
        <w:rPr>
          <w:rFonts w:ascii="Corbel" w:hAnsi="Corbel"/>
        </w:rPr>
        <w:t xml:space="preserve">l convient </w:t>
      </w:r>
      <w:r>
        <w:rPr>
          <w:rFonts w:ascii="Corbel" w:hAnsi="Corbel"/>
        </w:rPr>
        <w:t xml:space="preserve">en effet </w:t>
      </w:r>
      <w:r w:rsidR="00DD1A7B">
        <w:rPr>
          <w:rFonts w:ascii="Corbel" w:hAnsi="Corbel"/>
        </w:rPr>
        <w:t>de préciser que le CIRC a fait une synthèse des précédentes études (en excluant celles réalisées par les industriels</w:t>
      </w:r>
      <w:r w:rsidR="00B55470">
        <w:rPr>
          <w:rFonts w:ascii="Corbel" w:hAnsi="Corbel"/>
        </w:rPr>
        <w:t>, donc en utilisant moins d’études que les évaluations européennes</w:t>
      </w:r>
      <w:r w:rsidR="00DD1A7B">
        <w:rPr>
          <w:rFonts w:ascii="Corbel" w:hAnsi="Corbel"/>
        </w:rPr>
        <w:t xml:space="preserve">) et non une expertise en tant que telle. </w:t>
      </w:r>
    </w:p>
    <w:p w14:paraId="5171719E" w14:textId="4C93A068" w:rsidR="00DD1A7B" w:rsidRDefault="00E351FA" w:rsidP="00DD1A7B">
      <w:pPr>
        <w:rPr>
          <w:rFonts w:ascii="Corbel" w:hAnsi="Corbel"/>
        </w:rPr>
      </w:pPr>
      <w:r>
        <w:rPr>
          <w:rFonts w:ascii="Corbel" w:hAnsi="Corbel"/>
        </w:rPr>
        <w:t>Tout d’abord, s</w:t>
      </w:r>
      <w:r w:rsidR="00DD1A7B">
        <w:rPr>
          <w:rFonts w:ascii="Corbel" w:hAnsi="Corbel"/>
        </w:rPr>
        <w:t xml:space="preserve">a conclusion est </w:t>
      </w:r>
      <w:r w:rsidR="00186971">
        <w:rPr>
          <w:rFonts w:ascii="Corbel" w:hAnsi="Corbel"/>
        </w:rPr>
        <w:t xml:space="preserve">que </w:t>
      </w:r>
      <w:r w:rsidR="00DD1A7B">
        <w:rPr>
          <w:rFonts w:ascii="Corbel" w:hAnsi="Corbel"/>
        </w:rPr>
        <w:t>les études ne démontrent pas l’absence de danger, ce qui constitue à la fois un retournement de la charge de la preuve</w:t>
      </w:r>
      <w:r>
        <w:rPr>
          <w:rFonts w:ascii="Corbel" w:hAnsi="Corbel"/>
        </w:rPr>
        <w:t xml:space="preserve"> et </w:t>
      </w:r>
      <w:r w:rsidR="00DD1A7B">
        <w:rPr>
          <w:rFonts w:ascii="Corbel" w:hAnsi="Corbel"/>
        </w:rPr>
        <w:t xml:space="preserve">surtout </w:t>
      </w:r>
      <w:r w:rsidRPr="00B55470">
        <w:rPr>
          <w:rFonts w:ascii="Corbel" w:hAnsi="Corbel"/>
          <w:b/>
        </w:rPr>
        <w:t xml:space="preserve">une </w:t>
      </w:r>
      <w:r w:rsidR="00DD1A7B" w:rsidRPr="00B55470">
        <w:rPr>
          <w:rFonts w:ascii="Corbel" w:hAnsi="Corbel"/>
          <w:b/>
        </w:rPr>
        <w:t>confusion entre danger et risque</w:t>
      </w:r>
      <w:r w:rsidR="00DD1A7B">
        <w:rPr>
          <w:rStyle w:val="Appelnotedebasdep"/>
          <w:rFonts w:ascii="Corbel" w:hAnsi="Corbel"/>
        </w:rPr>
        <w:footnoteReference w:id="5"/>
      </w:r>
      <w:r>
        <w:rPr>
          <w:rFonts w:ascii="Corbel" w:hAnsi="Corbel"/>
        </w:rPr>
        <w:t>, alors que c’est ce dernier qui est normalement évalué.</w:t>
      </w:r>
    </w:p>
    <w:p w14:paraId="767F0678" w14:textId="4011E84B" w:rsidR="00E351FA" w:rsidRDefault="00E351FA" w:rsidP="00DD1A7B">
      <w:pPr>
        <w:rPr>
          <w:rFonts w:ascii="Corbel" w:hAnsi="Corbel"/>
        </w:rPr>
      </w:pPr>
      <w:r>
        <w:rPr>
          <w:rFonts w:ascii="Corbel" w:hAnsi="Corbel"/>
        </w:rPr>
        <w:t>Ensuite, un reportage</w:t>
      </w:r>
      <w:r>
        <w:rPr>
          <w:rStyle w:val="Appelnotedebasdep"/>
          <w:rFonts w:ascii="Corbel" w:hAnsi="Corbel"/>
        </w:rPr>
        <w:footnoteReference w:id="6"/>
      </w:r>
      <w:r>
        <w:rPr>
          <w:rFonts w:ascii="Corbel" w:hAnsi="Corbel"/>
        </w:rPr>
        <w:t xml:space="preserve"> publié en juin 2017 a signalé que le scientifique qui avait piloté le rapport avait volontairement écarté des données nouvelles mettant en évidence l’absence de lien entre la substance et le développement de cancers.</w:t>
      </w:r>
    </w:p>
    <w:p w14:paraId="14BA006C" w14:textId="3FD45473" w:rsidR="00B55470" w:rsidRDefault="00B55470" w:rsidP="00DD1A7B">
      <w:pPr>
        <w:rPr>
          <w:rFonts w:ascii="Corbel" w:hAnsi="Corbel"/>
        </w:rPr>
      </w:pPr>
      <w:r>
        <w:rPr>
          <w:rFonts w:ascii="Corbel" w:hAnsi="Corbel"/>
        </w:rPr>
        <w:t>Parmi les produits classés comme cancérogènes probables ou avérés</w:t>
      </w:r>
      <w:r w:rsidR="00025914">
        <w:rPr>
          <w:rFonts w:ascii="Corbel" w:hAnsi="Corbel"/>
        </w:rPr>
        <w:t xml:space="preserve"> par le CICR dans d’autres rapports, on relève</w:t>
      </w:r>
      <w:r>
        <w:rPr>
          <w:rFonts w:ascii="Corbel" w:hAnsi="Corbel"/>
        </w:rPr>
        <w:t>  les boissons alcoolisées, la friture, la charcuterie, la viande rouge</w:t>
      </w:r>
      <w:r w:rsidR="00A475CC">
        <w:rPr>
          <w:rFonts w:ascii="Corbel" w:hAnsi="Corbel"/>
        </w:rPr>
        <w:t xml:space="preserve">, les </w:t>
      </w:r>
      <w:r w:rsidR="00A475CC">
        <w:t>contraceptifs oraux à base d’œstrogène</w:t>
      </w:r>
      <w:r w:rsidR="00A475CC">
        <w:rPr>
          <w:rFonts w:ascii="Corbel" w:hAnsi="Corbel"/>
        </w:rPr>
        <w:t xml:space="preserve"> </w:t>
      </w:r>
      <w:r>
        <w:rPr>
          <w:rFonts w:ascii="Corbel" w:hAnsi="Corbel"/>
        </w:rPr>
        <w:t>…</w:t>
      </w:r>
    </w:p>
    <w:p w14:paraId="2B006364" w14:textId="163D1D98" w:rsidR="00997471" w:rsidRDefault="002F5090" w:rsidP="002F5090">
      <w:pPr>
        <w:rPr>
          <w:rFonts w:eastAsia="Times New Roman" w:cs="Times New Roman"/>
          <w:lang w:eastAsia="fr-FR"/>
        </w:rPr>
      </w:pPr>
      <w:r w:rsidRPr="00FD5C05">
        <w:t>Prenant prét</w:t>
      </w:r>
      <w:r w:rsidR="00565059">
        <w:t xml:space="preserve">exte d’un article publié dans </w:t>
      </w:r>
      <w:r w:rsidR="00565059" w:rsidRPr="00565059">
        <w:rPr>
          <w:i/>
        </w:rPr>
        <w:t>The</w:t>
      </w:r>
      <w:r w:rsidRPr="00565059">
        <w:rPr>
          <w:i/>
        </w:rPr>
        <w:t xml:space="preserve"> Lancet</w:t>
      </w:r>
      <w:r w:rsidRPr="00FD5C05">
        <w:t xml:space="preserve"> </w:t>
      </w:r>
      <w:r w:rsidR="00B55470">
        <w:t xml:space="preserve">relayant l’étude du CIRC </w:t>
      </w:r>
      <w:r w:rsidRPr="00FD5C05">
        <w:t>plaçant le glyphosate dans une très longue liste de cancérogènes « possibles », le ministère de la Santé a lancé la croisade d’une interdiction européenne du glyphosate.</w:t>
      </w:r>
      <w:r w:rsidRPr="00FD5C05">
        <w:rPr>
          <w:rFonts w:eastAsia="Times New Roman" w:cs="Times New Roman"/>
          <w:lang w:eastAsia="fr-FR"/>
        </w:rPr>
        <w:t xml:space="preserve"> </w:t>
      </w:r>
    </w:p>
    <w:p w14:paraId="1039BD6C" w14:textId="7FD66860" w:rsidR="002F5090" w:rsidRDefault="002F5090" w:rsidP="002F5090">
      <w:pPr>
        <w:rPr>
          <w:rFonts w:eastAsia="Times New Roman" w:cs="Times New Roman"/>
          <w:lang w:eastAsia="fr-FR"/>
        </w:rPr>
      </w:pPr>
      <w:r w:rsidRPr="00FD5C05">
        <w:rPr>
          <w:rFonts w:eastAsia="Times New Roman" w:cs="Times New Roman"/>
          <w:lang w:eastAsia="fr-FR"/>
        </w:rPr>
        <w:t>Le renouvellement de l’autorisation de mise sur le marché qui aurait dû intervenir en 2016</w:t>
      </w:r>
      <w:r w:rsidR="00352D33">
        <w:rPr>
          <w:rStyle w:val="Appelnotedebasdep"/>
          <w:rFonts w:eastAsia="Times New Roman" w:cs="Times New Roman"/>
          <w:lang w:eastAsia="fr-FR"/>
        </w:rPr>
        <w:footnoteReference w:id="7"/>
      </w:r>
      <w:r w:rsidRPr="00FD5C05">
        <w:rPr>
          <w:rFonts w:eastAsia="Times New Roman" w:cs="Times New Roman"/>
          <w:lang w:eastAsia="fr-FR"/>
        </w:rPr>
        <w:t xml:space="preserve"> a été repoussé, en dépit de l’avis favorable du ministère de l’Agriculture</w:t>
      </w:r>
      <w:r w:rsidR="00300AAB">
        <w:rPr>
          <w:rFonts w:eastAsia="Times New Roman" w:cs="Times New Roman"/>
          <w:lang w:eastAsia="fr-FR"/>
        </w:rPr>
        <w:t>.</w:t>
      </w:r>
      <w:r w:rsidRPr="00FD5C05">
        <w:rPr>
          <w:rFonts w:eastAsia="Times New Roman" w:cs="Times New Roman"/>
          <w:lang w:eastAsia="fr-FR"/>
        </w:rPr>
        <w:t xml:space="preserve"> </w:t>
      </w:r>
    </w:p>
    <w:p w14:paraId="19D3BE9E" w14:textId="77407BB3" w:rsidR="0025498E" w:rsidRDefault="0025498E" w:rsidP="002F5090">
      <w:r w:rsidRPr="00FD5C05">
        <w:t>Tout en agissant au plan européen pour une interdiction, sans attendre l’avis complémentaire demandée à l’Agence européenne des produits chimiques</w:t>
      </w:r>
      <w:r w:rsidR="00B55470">
        <w:t xml:space="preserve"> (</w:t>
      </w:r>
      <w:r>
        <w:t xml:space="preserve">ECHA) qui </w:t>
      </w:r>
      <w:r w:rsidR="00565059">
        <w:t>a depuis été</w:t>
      </w:r>
      <w:r>
        <w:t xml:space="preserve"> publié</w:t>
      </w:r>
      <w:r w:rsidRPr="00FD5C05">
        <w:t>, la France a interdit toute utilisation du glyphosate dans les espaces publics</w:t>
      </w:r>
      <w:r w:rsidR="00025914">
        <w:t xml:space="preserve"> et à terme par les particuliers</w:t>
      </w:r>
      <w:r w:rsidRPr="00FD5C05">
        <w:t>, les usages agricoles restant autorisés à titre provisoire.</w:t>
      </w:r>
    </w:p>
    <w:p w14:paraId="40E260E5" w14:textId="1C1AEFEA" w:rsidR="00565059" w:rsidRDefault="00565059" w:rsidP="002F5090">
      <w:pPr>
        <w:rPr>
          <w:rFonts w:eastAsia="Times New Roman" w:cs="Times New Roman"/>
          <w:lang w:eastAsia="fr-FR"/>
        </w:rPr>
      </w:pPr>
      <w:r>
        <w:rPr>
          <w:rFonts w:eastAsia="Times New Roman" w:cs="Times New Roman"/>
          <w:lang w:eastAsia="fr-FR"/>
        </w:rPr>
        <w:t>Pourtant, l’ANSES, saisie par le ministère de l’Environnement, a publié le 12 février 2016</w:t>
      </w:r>
      <w:r w:rsidR="009A1629">
        <w:rPr>
          <w:rFonts w:eastAsia="Times New Roman" w:cs="Times New Roman"/>
          <w:lang w:eastAsia="fr-FR"/>
        </w:rPr>
        <w:t xml:space="preserve"> son rapport dont les résultats confirment que le classement du glyphosate comme « cancérogène probable » n’est pas justifié. L’agence conclut en effet</w:t>
      </w:r>
      <w:r w:rsidR="00B55470">
        <w:rPr>
          <w:rFonts w:eastAsia="Times New Roman" w:cs="Times New Roman"/>
          <w:lang w:eastAsia="fr-FR"/>
        </w:rPr>
        <w:t xml:space="preserve"> « </w:t>
      </w:r>
      <w:r w:rsidR="00B55470" w:rsidRPr="00B55470">
        <w:rPr>
          <w:rFonts w:eastAsia="Times New Roman" w:cs="Times New Roman"/>
          <w:i/>
          <w:lang w:eastAsia="fr-FR"/>
        </w:rPr>
        <w:t>qu’au vu du niveau de preuve limité, une classification en catégorie 1A ou 1B (cancérogène avéré ou présumé pour l’être humain, règlement CLP) ne peut être proposée.</w:t>
      </w:r>
      <w:r w:rsidR="00B55470">
        <w:rPr>
          <w:rFonts w:eastAsia="Times New Roman" w:cs="Times New Roman"/>
          <w:lang w:eastAsia="fr-FR"/>
        </w:rPr>
        <w:t> » Par ailleurs, poursuit l’ANSES, « </w:t>
      </w:r>
      <w:r w:rsidR="00B55470" w:rsidRPr="00B55470">
        <w:rPr>
          <w:rFonts w:eastAsia="Times New Roman" w:cs="Times New Roman"/>
          <w:i/>
          <w:lang w:eastAsia="fr-FR"/>
        </w:rPr>
        <w:t>il est peu probable que le glyphosate ait un effet potentiel sur la perturbation endocrinienne des voies dépendantes de la régulation oestrogénique ; des études complémentaires pourraient confirmer cette hypothèse </w:t>
      </w:r>
      <w:r w:rsidR="00B55470">
        <w:rPr>
          <w:rFonts w:eastAsia="Times New Roman" w:cs="Times New Roman"/>
          <w:lang w:eastAsia="fr-FR"/>
        </w:rPr>
        <w:t>».</w:t>
      </w:r>
    </w:p>
    <w:p w14:paraId="50729A68" w14:textId="64F495B8" w:rsidR="00B55470" w:rsidRPr="009B2F77" w:rsidRDefault="00B55470" w:rsidP="002F5090">
      <w:pPr>
        <w:rPr>
          <w:rFonts w:eastAsia="Times New Roman" w:cs="Times New Roman"/>
          <w:b/>
          <w:lang w:eastAsia="fr-FR"/>
        </w:rPr>
      </w:pPr>
      <w:r>
        <w:rPr>
          <w:rFonts w:eastAsia="Times New Roman" w:cs="Times New Roman"/>
          <w:lang w:eastAsia="fr-FR"/>
        </w:rPr>
        <w:t xml:space="preserve">Dans son avis du 15 mars 2017, </w:t>
      </w:r>
      <w:r w:rsidRPr="009B2F77">
        <w:rPr>
          <w:rFonts w:eastAsia="Times New Roman" w:cs="Times New Roman"/>
          <w:b/>
          <w:lang w:eastAsia="fr-FR"/>
        </w:rPr>
        <w:t xml:space="preserve">le comité d’évaluation des risques de l’ECHA a à son tour conclu que le glyphosate n’était pas cancérigène et ne devait pas être classé comme tel. </w:t>
      </w:r>
    </w:p>
    <w:p w14:paraId="6E46CF2C" w14:textId="3FFA2193" w:rsidR="005C0634" w:rsidRPr="00A475CC" w:rsidRDefault="00A475CC" w:rsidP="00A475CC">
      <w:pPr>
        <w:rPr>
          <w:rFonts w:ascii="Corbel" w:hAnsi="Corbel"/>
        </w:rPr>
      </w:pPr>
      <w:r>
        <w:t xml:space="preserve">Devant l’unanimité des agences françaises et européennes, on peut se demander pourquoi le renouvellement de </w:t>
      </w:r>
      <w:r w:rsidRPr="00A475CC">
        <w:t>l’AMM du</w:t>
      </w:r>
      <w:r w:rsidRPr="00A475CC">
        <w:rPr>
          <w:rFonts w:ascii="Corbel" w:hAnsi="Corbel"/>
        </w:rPr>
        <w:t xml:space="preserve"> glyphosate fait débat.</w:t>
      </w:r>
      <w:r>
        <w:rPr>
          <w:rFonts w:ascii="Corbel" w:hAnsi="Corbel"/>
        </w:rPr>
        <w:t xml:space="preserve"> </w:t>
      </w:r>
      <w:r w:rsidR="0082135E" w:rsidRPr="00EE5AD4">
        <w:rPr>
          <w:rFonts w:ascii="Corbel" w:hAnsi="Corbel"/>
        </w:rPr>
        <w:t xml:space="preserve">Le problème du glyphosate </w:t>
      </w:r>
      <w:r w:rsidR="0082135E">
        <w:rPr>
          <w:rFonts w:ascii="Corbel" w:hAnsi="Corbel"/>
        </w:rPr>
        <w:t>vient probablement</w:t>
      </w:r>
      <w:r w:rsidR="00466748">
        <w:rPr>
          <w:rFonts w:ascii="Corbel" w:hAnsi="Corbel"/>
        </w:rPr>
        <w:t xml:space="preserve"> </w:t>
      </w:r>
      <w:r w:rsidR="00910827">
        <w:rPr>
          <w:rFonts w:ascii="Corbel" w:hAnsi="Corbel"/>
        </w:rPr>
        <w:t>en partie</w:t>
      </w:r>
      <w:r w:rsidR="0082135E">
        <w:rPr>
          <w:rFonts w:ascii="Corbel" w:hAnsi="Corbel"/>
        </w:rPr>
        <w:t xml:space="preserve"> de la comm</w:t>
      </w:r>
      <w:r>
        <w:rPr>
          <w:rFonts w:ascii="Corbel" w:hAnsi="Corbel"/>
        </w:rPr>
        <w:t>unication qui en a été faite à l’origine :</w:t>
      </w:r>
      <w:r w:rsidR="0082135E">
        <w:rPr>
          <w:rFonts w:ascii="Corbel" w:hAnsi="Corbel"/>
        </w:rPr>
        <w:t xml:space="preserve"> i</w:t>
      </w:r>
      <w:r w:rsidR="0082135E" w:rsidRPr="00EE5AD4">
        <w:rPr>
          <w:rFonts w:ascii="Corbel" w:hAnsi="Corbel"/>
        </w:rPr>
        <w:t>l a été propos</w:t>
      </w:r>
      <w:r>
        <w:rPr>
          <w:rFonts w:ascii="Corbel" w:hAnsi="Corbel"/>
        </w:rPr>
        <w:t>é comme un produit sans résidu, alors qu’aujourd’hui</w:t>
      </w:r>
      <w:r w:rsidR="0082135E">
        <w:rPr>
          <w:rFonts w:ascii="Corbel" w:hAnsi="Corbel"/>
        </w:rPr>
        <w:t xml:space="preserve"> des études montrent qu’il </w:t>
      </w:r>
      <w:r w:rsidR="00025914">
        <w:rPr>
          <w:rFonts w:ascii="Corbel" w:hAnsi="Corbel"/>
        </w:rPr>
        <w:t xml:space="preserve">peut </w:t>
      </w:r>
      <w:r w:rsidR="0082135E">
        <w:rPr>
          <w:rFonts w:ascii="Corbel" w:hAnsi="Corbel"/>
        </w:rPr>
        <w:t>persiste</w:t>
      </w:r>
      <w:r w:rsidR="00025914">
        <w:rPr>
          <w:rFonts w:ascii="Corbel" w:hAnsi="Corbel"/>
        </w:rPr>
        <w:t>r</w:t>
      </w:r>
      <w:r w:rsidR="0082135E">
        <w:rPr>
          <w:rFonts w:ascii="Corbel" w:hAnsi="Corbel"/>
        </w:rPr>
        <w:t xml:space="preserve"> des traces de glyphosate non dangereuses, surtout dans l’eau.</w:t>
      </w:r>
      <w:r w:rsidR="00910827">
        <w:rPr>
          <w:rFonts w:ascii="Corbel" w:hAnsi="Corbel"/>
        </w:rPr>
        <w:t xml:space="preserve"> Mais c’est surtout le contexte français du débat qui est spécialement peu favorable à une discussion raisonnable.</w:t>
      </w:r>
    </w:p>
    <w:p w14:paraId="146F16C1" w14:textId="60BE9BAE" w:rsidR="00F91BDC" w:rsidRDefault="0029300D" w:rsidP="0011699B">
      <w:pPr>
        <w:pStyle w:val="Titre2"/>
      </w:pPr>
      <w:bookmarkStart w:id="6" w:name="_Toc360458873"/>
      <w:r>
        <w:t xml:space="preserve">Un </w:t>
      </w:r>
      <w:r w:rsidR="00F91BDC">
        <w:t xml:space="preserve">débat </w:t>
      </w:r>
      <w:r w:rsidR="004C5DCC">
        <w:t>politique et social insuffisamment apaisé en France</w:t>
      </w:r>
      <w:bookmarkEnd w:id="6"/>
    </w:p>
    <w:p w14:paraId="237F8374" w14:textId="79E6CEBA" w:rsidR="0029300D" w:rsidRDefault="00A545D3" w:rsidP="00F91BDC">
      <w:r>
        <w:t xml:space="preserve">Le </w:t>
      </w:r>
      <w:r w:rsidR="0029300D">
        <w:t>contexte</w:t>
      </w:r>
      <w:r w:rsidR="00F91BDC">
        <w:t xml:space="preserve"> </w:t>
      </w:r>
      <w:r w:rsidR="000B1BA2">
        <w:t xml:space="preserve">particulier </w:t>
      </w:r>
      <w:r>
        <w:t xml:space="preserve">du débat autour de l’utilisation des produits phytosanitaires </w:t>
      </w:r>
      <w:r w:rsidR="00D61AED">
        <w:t>brouille le message scientifique</w:t>
      </w:r>
      <w:r w:rsidR="000B1BA2">
        <w:t xml:space="preserve"> et risque d’influencer la décision</w:t>
      </w:r>
      <w:r>
        <w:t xml:space="preserve"> final</w:t>
      </w:r>
      <w:r w:rsidR="00025914">
        <w:t>e</w:t>
      </w:r>
      <w:r>
        <w:t xml:space="preserve"> du politique.</w:t>
      </w:r>
    </w:p>
    <w:p w14:paraId="2A69DF64" w14:textId="77777777" w:rsidR="00FA62D3" w:rsidRDefault="00FA62D3" w:rsidP="00FA62D3">
      <w:pPr>
        <w:pStyle w:val="Titre3"/>
        <w:numPr>
          <w:ilvl w:val="0"/>
          <w:numId w:val="19"/>
        </w:numPr>
      </w:pPr>
      <w:bookmarkStart w:id="7" w:name="_Toc360458874"/>
      <w:r>
        <w:t>Un débat qui existe dans la plupart des pays européens</w:t>
      </w:r>
      <w:bookmarkEnd w:id="7"/>
    </w:p>
    <w:p w14:paraId="23E0C74B" w14:textId="5232F5D3" w:rsidR="00565059" w:rsidRPr="00EE5AD4" w:rsidRDefault="00565059" w:rsidP="00565059">
      <w:pPr>
        <w:rPr>
          <w:rFonts w:ascii="Corbel" w:hAnsi="Corbel"/>
        </w:rPr>
      </w:pPr>
      <w:r w:rsidRPr="00EE5AD4">
        <w:rPr>
          <w:rFonts w:ascii="Corbel" w:hAnsi="Corbel"/>
        </w:rPr>
        <w:t>La Commission a proposé quelques mois avant la fin d’approbation (juin 2016), la ré</w:t>
      </w:r>
      <w:r>
        <w:rPr>
          <w:rFonts w:ascii="Corbel" w:hAnsi="Corbel"/>
        </w:rPr>
        <w:t>-</w:t>
      </w:r>
      <w:r w:rsidRPr="00EE5AD4">
        <w:rPr>
          <w:rFonts w:ascii="Corbel" w:hAnsi="Corbel"/>
        </w:rPr>
        <w:t>approbation de la molécule glyphosate pour une durée de 15 ans maximum.</w:t>
      </w:r>
      <w:r>
        <w:rPr>
          <w:rFonts w:ascii="Corbel" w:hAnsi="Corbel"/>
        </w:rPr>
        <w:t xml:space="preserve"> S’en est suivi d’intenses débats entre Etats-membres</w:t>
      </w:r>
      <w:r w:rsidR="001F225B">
        <w:rPr>
          <w:rFonts w:ascii="Corbel" w:hAnsi="Corbel"/>
        </w:rPr>
        <w:t xml:space="preserve"> alors même qu’aucune agence européenne n’a jamais conclu à un problème</w:t>
      </w:r>
      <w:r w:rsidR="00025914">
        <w:rPr>
          <w:rFonts w:ascii="Corbel" w:hAnsi="Corbel"/>
        </w:rPr>
        <w:t xml:space="preserve"> de santé publique </w:t>
      </w:r>
      <w:r w:rsidR="001F225B">
        <w:rPr>
          <w:rFonts w:ascii="Corbel" w:hAnsi="Corbel"/>
        </w:rPr>
        <w:t xml:space="preserve"> lié au glyphosate.</w:t>
      </w:r>
    </w:p>
    <w:p w14:paraId="014A4983" w14:textId="7FB808B5" w:rsidR="00565059" w:rsidRPr="00EE5AD4" w:rsidRDefault="001F225B" w:rsidP="00565059">
      <w:pPr>
        <w:rPr>
          <w:rFonts w:ascii="Corbel" w:hAnsi="Corbel"/>
        </w:rPr>
      </w:pPr>
      <w:r>
        <w:rPr>
          <w:rFonts w:ascii="Corbel" w:hAnsi="Corbel"/>
        </w:rPr>
        <w:t>D</w:t>
      </w:r>
      <w:r w:rsidR="00565059">
        <w:rPr>
          <w:rFonts w:ascii="Corbel" w:hAnsi="Corbel"/>
        </w:rPr>
        <w:t>’importantes divergences ont e</w:t>
      </w:r>
      <w:r>
        <w:rPr>
          <w:rFonts w:ascii="Corbel" w:hAnsi="Corbel"/>
        </w:rPr>
        <w:t>u lieu entre le ministère de l’A</w:t>
      </w:r>
      <w:r w:rsidR="00565059">
        <w:rPr>
          <w:rFonts w:ascii="Corbel" w:hAnsi="Corbel"/>
        </w:rPr>
        <w:t>g</w:t>
      </w:r>
      <w:r>
        <w:rPr>
          <w:rFonts w:ascii="Corbel" w:hAnsi="Corbel"/>
        </w:rPr>
        <w:t>riculture et le ministère de l’E</w:t>
      </w:r>
      <w:r w:rsidR="00565059">
        <w:rPr>
          <w:rFonts w:ascii="Corbel" w:hAnsi="Corbel"/>
        </w:rPr>
        <w:t>nvironnement</w:t>
      </w:r>
      <w:r>
        <w:rPr>
          <w:rFonts w:ascii="Corbel" w:hAnsi="Corbel"/>
        </w:rPr>
        <w:t xml:space="preserve"> lorsqu’il s’est </w:t>
      </w:r>
      <w:r w:rsidR="00025914">
        <w:rPr>
          <w:rFonts w:ascii="Corbel" w:hAnsi="Corbel"/>
        </w:rPr>
        <w:t>agi</w:t>
      </w:r>
      <w:r>
        <w:rPr>
          <w:rFonts w:ascii="Corbel" w:hAnsi="Corbel"/>
        </w:rPr>
        <w:t xml:space="preserve"> d’aller proposer un vote sur le glyphosate dans le groupe interministériel formé à cet effet</w:t>
      </w:r>
      <w:r w:rsidR="00565059">
        <w:rPr>
          <w:rFonts w:ascii="Corbel" w:hAnsi="Corbel"/>
        </w:rPr>
        <w:t>.</w:t>
      </w:r>
    </w:p>
    <w:p w14:paraId="19F2E216" w14:textId="7B109226" w:rsidR="00565059" w:rsidRDefault="00565059" w:rsidP="00565059">
      <w:pPr>
        <w:rPr>
          <w:rFonts w:ascii="Corbel" w:hAnsi="Corbel"/>
        </w:rPr>
      </w:pPr>
      <w:r>
        <w:rPr>
          <w:rFonts w:ascii="Corbel" w:hAnsi="Corbel"/>
        </w:rPr>
        <w:t>Les Allemands en tant qu’Etat-membre</w:t>
      </w:r>
      <w:r w:rsidRPr="00EE5AD4">
        <w:rPr>
          <w:rFonts w:ascii="Corbel" w:hAnsi="Corbel"/>
        </w:rPr>
        <w:t xml:space="preserve"> rapporteur</w:t>
      </w:r>
      <w:r>
        <w:rPr>
          <w:rFonts w:ascii="Corbel" w:hAnsi="Corbel"/>
        </w:rPr>
        <w:t xml:space="preserve"> sur le sujet du glyphosate</w:t>
      </w:r>
      <w:r w:rsidRPr="00EE5AD4">
        <w:rPr>
          <w:rFonts w:ascii="Corbel" w:hAnsi="Corbel"/>
        </w:rPr>
        <w:t xml:space="preserve"> </w:t>
      </w:r>
      <w:r>
        <w:rPr>
          <w:rFonts w:ascii="Corbel" w:hAnsi="Corbel"/>
        </w:rPr>
        <w:t>ont</w:t>
      </w:r>
      <w:r w:rsidRPr="00EE5AD4">
        <w:rPr>
          <w:rFonts w:ascii="Corbel" w:hAnsi="Corbel"/>
        </w:rPr>
        <w:t xml:space="preserve"> proposé une approbation, </w:t>
      </w:r>
      <w:r w:rsidR="001F225B">
        <w:rPr>
          <w:rFonts w:ascii="Corbel" w:hAnsi="Corbel"/>
        </w:rPr>
        <w:t xml:space="preserve">cependant ils se sont </w:t>
      </w:r>
      <w:r>
        <w:rPr>
          <w:rFonts w:ascii="Corbel" w:hAnsi="Corbel"/>
        </w:rPr>
        <w:t>ab</w:t>
      </w:r>
      <w:r w:rsidRPr="00EE5AD4">
        <w:rPr>
          <w:rFonts w:ascii="Corbel" w:hAnsi="Corbel"/>
        </w:rPr>
        <w:t>stenu</w:t>
      </w:r>
      <w:r w:rsidR="001F225B">
        <w:rPr>
          <w:rFonts w:ascii="Corbel" w:hAnsi="Corbel"/>
        </w:rPr>
        <w:t xml:space="preserve">s en tant qu’Etat </w:t>
      </w:r>
      <w:r>
        <w:rPr>
          <w:rFonts w:ascii="Corbel" w:hAnsi="Corbel"/>
        </w:rPr>
        <w:t>membre</w:t>
      </w:r>
      <w:r w:rsidRPr="00EE5AD4">
        <w:rPr>
          <w:rFonts w:ascii="Corbel" w:hAnsi="Corbel"/>
        </w:rPr>
        <w:t xml:space="preserve"> </w:t>
      </w:r>
      <w:r>
        <w:rPr>
          <w:rFonts w:ascii="Corbel" w:hAnsi="Corbel"/>
        </w:rPr>
        <w:t>lors du vote</w:t>
      </w:r>
      <w:r w:rsidRPr="00EE5AD4">
        <w:rPr>
          <w:rFonts w:ascii="Corbel" w:hAnsi="Corbel"/>
        </w:rPr>
        <w:t>.</w:t>
      </w:r>
    </w:p>
    <w:p w14:paraId="1F9D9F07" w14:textId="237D9363" w:rsidR="00565059" w:rsidRDefault="00565059" w:rsidP="00565059">
      <w:pPr>
        <w:rPr>
          <w:rFonts w:ascii="Corbel" w:hAnsi="Corbel"/>
        </w:rPr>
      </w:pPr>
      <w:r>
        <w:rPr>
          <w:rFonts w:ascii="Corbel" w:hAnsi="Corbel"/>
        </w:rPr>
        <w:t xml:space="preserve">Sur ce sujet également, le débat scientifique a été </w:t>
      </w:r>
      <w:r w:rsidR="001F225B">
        <w:rPr>
          <w:rFonts w:ascii="Corbel" w:hAnsi="Corbel"/>
        </w:rPr>
        <w:t>pollué</w:t>
      </w:r>
      <w:r>
        <w:rPr>
          <w:rFonts w:ascii="Corbel" w:hAnsi="Corbel"/>
        </w:rPr>
        <w:t xml:space="preserve"> par le débat de l’opinion publique, des journalistes et des politiques.</w:t>
      </w:r>
      <w:r w:rsidR="001F225B">
        <w:rPr>
          <w:rFonts w:ascii="Corbel" w:hAnsi="Corbel"/>
        </w:rPr>
        <w:t xml:space="preserve"> La France n’est ainsi par réellement une exception en Europe</w:t>
      </w:r>
      <w:r w:rsidR="0052257A">
        <w:rPr>
          <w:rFonts w:ascii="Corbel" w:hAnsi="Corbel"/>
        </w:rPr>
        <w:t xml:space="preserve">, car des débats souvent âpres existent en Italie ou en Allemagne par exemple. </w:t>
      </w:r>
      <w:r w:rsidR="0052257A" w:rsidRPr="003234E0">
        <w:rPr>
          <w:rFonts w:ascii="Corbel" w:hAnsi="Corbel"/>
          <w:b/>
        </w:rPr>
        <w:t>Cependant, la France est le seul pays, avec Malte, à avoir voté contre</w:t>
      </w:r>
      <w:r w:rsidR="003234E0" w:rsidRPr="003234E0">
        <w:rPr>
          <w:rFonts w:ascii="Corbel" w:hAnsi="Corbel"/>
          <w:b/>
        </w:rPr>
        <w:t xml:space="preserve"> le glyphosate lors du débat au niveau européen</w:t>
      </w:r>
      <w:r w:rsidR="003234E0">
        <w:rPr>
          <w:rFonts w:ascii="Corbel" w:hAnsi="Corbel"/>
        </w:rPr>
        <w:t>.</w:t>
      </w:r>
    </w:p>
    <w:p w14:paraId="087A6D93" w14:textId="4D1894F5" w:rsidR="009C1B90" w:rsidRDefault="00C775F9" w:rsidP="00FA62D3">
      <w:pPr>
        <w:pStyle w:val="Titre3"/>
      </w:pPr>
      <w:bookmarkStart w:id="8" w:name="_Toc360458875"/>
      <w:r>
        <w:t>Le développement préoccupant d’une idéologie anti-scientifique</w:t>
      </w:r>
      <w:bookmarkEnd w:id="8"/>
    </w:p>
    <w:p w14:paraId="257E5BCD" w14:textId="77777777" w:rsidR="000040CF" w:rsidRDefault="003234E0" w:rsidP="003234E0">
      <w:r>
        <w:t xml:space="preserve">Le problème du glyphosate est qu’une question purement scientifique </w:t>
      </w:r>
      <w:r w:rsidR="006A4F19">
        <w:t xml:space="preserve">est contaminée par des polémiques et un contexte idéologique particuliers. </w:t>
      </w:r>
    </w:p>
    <w:p w14:paraId="673778F6" w14:textId="7B949A44" w:rsidR="006A4F19" w:rsidRDefault="006A4F19" w:rsidP="003234E0">
      <w:r>
        <w:t xml:space="preserve">Le dossier intervient en effet au moment où se développe une vague sans précédent de contestation face aux expérimentations scientifiques. Cette vague a deux dimensions complémentaires : un néo-rousseauisme qui se conjugue </w:t>
      </w:r>
      <w:r w:rsidR="000040CF">
        <w:t>avec une défiance vis à vis des institutions officielles.</w:t>
      </w:r>
    </w:p>
    <w:p w14:paraId="0EEF17E5" w14:textId="25C5894C" w:rsidR="000040CF" w:rsidRDefault="000040CF" w:rsidP="003234E0">
      <w:r>
        <w:t>Selon la thèse rousseauiste, l’homme est bon à l’état de nature mais perverti par la société. Le néo-rousseauisme étend ce principe en faisant de tout ce qui est réputé « naturel » le critère absolu du bon et du suffisant (sans voir ce que cette idée de « nature » est en réalité contestable, tant nous avons depuis des millénaires façonné notre espèce et notre environnement), et de tout ce qui est symétriquement réputé « artificiel » est réputé au mieux inutile, au pire nuisible.</w:t>
      </w:r>
      <w:r w:rsidR="0014605B">
        <w:t xml:space="preserve"> L’absurde (et dangereux !) mouvement que l’on peut observer d’opposition aux vaccins en est une illustration frappante.</w:t>
      </w:r>
    </w:p>
    <w:p w14:paraId="1D288AED" w14:textId="4CF7803E" w:rsidR="00C775F9" w:rsidRDefault="003D2C5A" w:rsidP="0014605B">
      <w:r>
        <w:t>Cette croyance quasi-magique dans la bonté des forces de la nature</w:t>
      </w:r>
      <w:r w:rsidR="006A4F19">
        <w:t xml:space="preserve"> s’accompagne d’une mise en doute systématique des discours des institutions officielles toujours soupçonnées d’être en réalité partiales</w:t>
      </w:r>
      <w:r w:rsidR="005D6F74">
        <w:t xml:space="preserve">. Ce doute qui n’a rien du « doute radical » méthodologique cartésien mais tout à voir avec une phobie </w:t>
      </w:r>
      <w:r w:rsidR="005D6F74" w:rsidRPr="005D6F74">
        <w:rPr>
          <w:i/>
        </w:rPr>
        <w:t>a priori</w:t>
      </w:r>
      <w:r w:rsidR="005D6F74">
        <w:t xml:space="preserve"> pour l’autorité voire la civilisation</w:t>
      </w:r>
      <w:r w:rsidR="00E41CBB">
        <w:t>,</w:t>
      </w:r>
      <w:r w:rsidR="005D6F74">
        <w:t xml:space="preserve"> est alimenté</w:t>
      </w:r>
      <w:r>
        <w:t xml:space="preserve"> par </w:t>
      </w:r>
      <w:r w:rsidR="00E41CBB">
        <w:t>une floraison de</w:t>
      </w:r>
      <w:r>
        <w:t xml:space="preserve"> thèses du</w:t>
      </w:r>
      <w:r w:rsidR="006A4F19">
        <w:t xml:space="preserve"> complot </w:t>
      </w:r>
      <w:r w:rsidR="00E41CBB">
        <w:t xml:space="preserve">selon lesquelles les grands industriels seraient les manipulateurs actifs derrière des mises en scène d’étude scientifique. </w:t>
      </w:r>
    </w:p>
    <w:p w14:paraId="6AC7CE8D" w14:textId="014BDB01" w:rsidR="0025498E" w:rsidRPr="0014605B" w:rsidRDefault="0014605B" w:rsidP="0014605B">
      <w:r>
        <w:t>Dans cet étrange climat, on peut voir se développer une</w:t>
      </w:r>
      <w:r w:rsidR="009502C6">
        <w:t xml:space="preserve"> log</w:t>
      </w:r>
      <w:r>
        <w:t xml:space="preserve">ique politique de protection et </w:t>
      </w:r>
      <w:r w:rsidR="009502C6">
        <w:t>une réaction anti-scientifique où l’on renverse la charge de la preuve</w:t>
      </w:r>
      <w:r>
        <w:t>. Ces dérives sont alimentées par une déformation du</w:t>
      </w:r>
      <w:r w:rsidR="0025498E" w:rsidRPr="0025498E">
        <w:rPr>
          <w:rFonts w:eastAsia="Times New Roman" w:cs="Times New Roman"/>
          <w:bCs/>
          <w:lang w:eastAsia="fr-FR"/>
        </w:rPr>
        <w:t xml:space="preserve"> principe de précaution</w:t>
      </w:r>
      <w:r>
        <w:rPr>
          <w:rFonts w:eastAsia="Times New Roman" w:cs="Times New Roman"/>
          <w:bCs/>
          <w:lang w:eastAsia="fr-FR"/>
        </w:rPr>
        <w:t>,</w:t>
      </w:r>
      <w:r w:rsidR="0025498E" w:rsidRPr="0025498E">
        <w:rPr>
          <w:rFonts w:eastAsia="Times New Roman" w:cs="Times New Roman"/>
          <w:bCs/>
          <w:lang w:eastAsia="fr-FR"/>
        </w:rPr>
        <w:t xml:space="preserve"> devenu </w:t>
      </w:r>
      <w:r w:rsidR="0025498E" w:rsidRPr="0025498E">
        <w:rPr>
          <w:rFonts w:eastAsia="Times New Roman" w:cs="Times New Roman"/>
          <w:lang w:eastAsia="fr-FR"/>
        </w:rPr>
        <w:t>un principe d’inaction, d’immobilisme et même de ré</w:t>
      </w:r>
      <w:r>
        <w:rPr>
          <w:rFonts w:eastAsia="Times New Roman" w:cs="Times New Roman"/>
          <w:lang w:eastAsia="fr-FR"/>
        </w:rPr>
        <w:t>gression,</w:t>
      </w:r>
      <w:r w:rsidR="0025498E" w:rsidRPr="0025498E">
        <w:rPr>
          <w:rFonts w:eastAsia="Times New Roman" w:cs="Times New Roman"/>
          <w:lang w:eastAsia="fr-FR"/>
        </w:rPr>
        <w:t xml:space="preserve"> fondé sur l’émotion et l’exploitation des peurs et non sur l’analyse, l’expérimentation et l’observation scientifique. </w:t>
      </w:r>
      <w:r w:rsidR="0025498E" w:rsidRPr="0025498E">
        <w:rPr>
          <w:rFonts w:eastAsia="Times New Roman" w:cs="Times New Roman"/>
          <w:bCs/>
          <w:lang w:eastAsia="fr-FR"/>
        </w:rPr>
        <w:t xml:space="preserve">Un climat de défiance vis-à-vis des chercheurs et des technologies s’est installé, doublé d’une confiance aveugle dans les affirmations de certains professionnels de la peur qui jugent que leur idéologie catastrophiste vaut mieux que la science.  Le mot science lui-même est devenu suspect, le mot progrès tabou. </w:t>
      </w:r>
    </w:p>
    <w:p w14:paraId="6DA1613F" w14:textId="571EC3FE" w:rsidR="005819FE" w:rsidRDefault="005819FE" w:rsidP="00A475CC">
      <w:r>
        <w:t>Les avis des agences scientifiques sont discrédités au motif que, dans bien des cas (mais pas dans tous), elles sont obligées de confier les études à l’industrie faute de moyens suffisants. Mais c’est oublier que les industriels doivent respecter un cahier des charges très précis qui ne fait pas de place aux manipulations. L’autre reproche courant que l’on adresse à ces études est que le détail des études n’est pas toujours publié ; c’est négliger le fait que</w:t>
      </w:r>
      <w:r w:rsidR="00EA1E1E">
        <w:t xml:space="preserve"> les techniques innovantes doivent rester secrètes, et qu’il y a là un vrai problème de protection industrielle. </w:t>
      </w:r>
      <w:r>
        <w:t>Dans le cas de l’avis de l’ECHA</w:t>
      </w:r>
      <w:r w:rsidR="00EA1E1E">
        <w:t>, en l’occurrence, les études privées en toxicologie ont été mises à dispositions dans une salle de lecture pendant 6 mois. Il y a eu très peu de visite, ce qui montre bien que l’argument du pseudo-secret qui servirait à cacher les manipulations des études n’est même pas pris au sérieux par ceux qui, les utilisant, devraient logiquement sauter sur l’occasion d’aller y voir de plus près.</w:t>
      </w:r>
    </w:p>
    <w:p w14:paraId="1E3DC04E" w14:textId="0CA434A1" w:rsidR="005C0634" w:rsidRDefault="005C0634" w:rsidP="00EA1E1E">
      <w:r>
        <w:t>Un</w:t>
      </w:r>
      <w:r w:rsidR="00EA1E1E">
        <w:t xml:space="preserve"> dernier élément qui alimente la polémique est la regrettable</w:t>
      </w:r>
      <w:r>
        <w:t xml:space="preserve"> </w:t>
      </w:r>
      <w:r w:rsidRPr="000136EB">
        <w:rPr>
          <w:b/>
        </w:rPr>
        <w:t>confusion entre danger et risque</w:t>
      </w:r>
      <w:r w:rsidR="00EA1E1E">
        <w:t>. Le danger correspond à un effet potentiel, ce qui peut par exemple</w:t>
      </w:r>
      <w:r>
        <w:t xml:space="preserve"> </w:t>
      </w:r>
      <w:r w:rsidR="00EA1E1E">
        <w:t>permettre de</w:t>
      </w:r>
      <w:r>
        <w:t xml:space="preserve"> classe</w:t>
      </w:r>
      <w:r w:rsidR="00EA1E1E">
        <w:t>r</w:t>
      </w:r>
      <w:r>
        <w:t xml:space="preserve"> en cancérogène probable</w:t>
      </w:r>
      <w:r w:rsidR="00EA1E1E">
        <w:t xml:space="preserve"> ou certain </w:t>
      </w:r>
      <w:r>
        <w:t xml:space="preserve"> </w:t>
      </w:r>
      <w:r w:rsidR="00EA1E1E">
        <w:t>la viande rouge, la charcuterie et l’eau chaude ! Le risque, lui, correspond à la combinaison d’un risque et d’une exposition. Par exemple, l’eau chaude présente un danger cancérigène, mais seule son ingestion régulière pendant des décennies augmente significativement le risque de cancer (c’est le cas du thé). Ce qui importe est donc moins le danger que la dose. Ne pas vouloir comprendre cela, c’est nécessairement considérer tout produit chimique comme devant être interdit du fait de ses effets potentiellement dévastateurs, alors même que son usage maîtrisé permet une exposition très limitée réduisant le risque à presque rien.</w:t>
      </w:r>
      <w:r w:rsidR="000136EB">
        <w:t xml:space="preserve"> </w:t>
      </w:r>
    </w:p>
    <w:p w14:paraId="1752C92E" w14:textId="3BE107D0" w:rsidR="00B7660D" w:rsidRDefault="00B7660D" w:rsidP="0011699B">
      <w:pPr>
        <w:pStyle w:val="Titre1"/>
      </w:pPr>
      <w:bookmarkStart w:id="9" w:name="_Toc360458876"/>
      <w:r>
        <w:t>Une interdiction du glyphosate aux lourdes conséquences</w:t>
      </w:r>
      <w:bookmarkEnd w:id="9"/>
      <w:r>
        <w:t xml:space="preserve"> </w:t>
      </w:r>
    </w:p>
    <w:p w14:paraId="65B970D3" w14:textId="536410EF" w:rsidR="00E36C2E" w:rsidRDefault="00E36C2E" w:rsidP="0011699B">
      <w:r>
        <w:t>Après avoir retracé la nature et le contexte du débat concernant le glyphosate, nous proposons d’évoquer les conséquences</w:t>
      </w:r>
      <w:r w:rsidR="0030688C">
        <w:t xml:space="preserve"> </w:t>
      </w:r>
      <w:r w:rsidR="00186971">
        <w:t>qu’aurait</w:t>
      </w:r>
      <w:r w:rsidR="0030688C">
        <w:t xml:space="preserve"> une interdiction de l’usage professionnel du glyphosate. Aux effets économiques dévastateurs s’ajouteraient des impacts sociaux et environnementaux considérables.</w:t>
      </w:r>
    </w:p>
    <w:p w14:paraId="432C58AD" w14:textId="16811890" w:rsidR="00B7660D" w:rsidRDefault="00B7660D" w:rsidP="00723E74">
      <w:pPr>
        <w:pStyle w:val="Titre2"/>
        <w:numPr>
          <w:ilvl w:val="0"/>
          <w:numId w:val="11"/>
        </w:numPr>
      </w:pPr>
      <w:bookmarkStart w:id="10" w:name="_Toc360458877"/>
      <w:r>
        <w:t>Un</w:t>
      </w:r>
      <w:r w:rsidRPr="00492F2F">
        <w:t xml:space="preserve"> coût économique</w:t>
      </w:r>
      <w:r w:rsidR="00982F84">
        <w:t xml:space="preserve"> et </w:t>
      </w:r>
      <w:r w:rsidR="001F325F">
        <w:t>environnemental</w:t>
      </w:r>
      <w:r w:rsidRPr="00492F2F">
        <w:t xml:space="preserve"> </w:t>
      </w:r>
      <w:r>
        <w:t>démesuré pour</w:t>
      </w:r>
      <w:r w:rsidR="005C0634">
        <w:t xml:space="preserve"> les agriculteurs</w:t>
      </w:r>
      <w:bookmarkEnd w:id="10"/>
    </w:p>
    <w:p w14:paraId="0ED4DCE7" w14:textId="4E946978" w:rsidR="005C0634" w:rsidRDefault="00723E74" w:rsidP="00723E74">
      <w:pPr>
        <w:pStyle w:val="Titre3"/>
        <w:numPr>
          <w:ilvl w:val="0"/>
          <w:numId w:val="15"/>
        </w:numPr>
      </w:pPr>
      <w:bookmarkStart w:id="11" w:name="_Toc360458878"/>
      <w:r>
        <w:t>Des alternatives au glyphosate particulièrement coûteuses pour l’agriculture</w:t>
      </w:r>
      <w:bookmarkEnd w:id="11"/>
    </w:p>
    <w:p w14:paraId="002B5AA5" w14:textId="77777777" w:rsidR="00E25B20" w:rsidRDefault="00E25B20" w:rsidP="00E25B20">
      <w:r w:rsidRPr="00C046C8">
        <w:t>Le</w:t>
      </w:r>
      <w:r>
        <w:t xml:space="preserve"> </w:t>
      </w:r>
      <w:r w:rsidRPr="00C046C8">
        <w:rPr>
          <w:bCs/>
        </w:rPr>
        <w:t>glyphosate</w:t>
      </w:r>
      <w:r>
        <w:rPr>
          <w:bCs/>
        </w:rPr>
        <w:t xml:space="preserve"> </w:t>
      </w:r>
      <w:r w:rsidRPr="00C046C8">
        <w:rPr>
          <w:bCs/>
        </w:rPr>
        <w:t>(N-</w:t>
      </w:r>
      <w:r>
        <w:rPr>
          <w:bCs/>
        </w:rPr>
        <w:t>p</w:t>
      </w:r>
      <w:r w:rsidRPr="00C046C8">
        <w:rPr>
          <w:bCs/>
        </w:rPr>
        <w:t>hosphonométhylglycine)</w:t>
      </w:r>
      <w:r>
        <w:rPr>
          <w:bCs/>
        </w:rPr>
        <w:t xml:space="preserve"> </w:t>
      </w:r>
      <w:r w:rsidRPr="00C046C8">
        <w:t>est</w:t>
      </w:r>
      <w:r>
        <w:t xml:space="preserve"> </w:t>
      </w:r>
      <w:r w:rsidRPr="00C046C8">
        <w:t>l’une</w:t>
      </w:r>
      <w:r>
        <w:t xml:space="preserve"> </w:t>
      </w:r>
      <w:r w:rsidRPr="00C046C8">
        <w:t>des</w:t>
      </w:r>
      <w:r>
        <w:t xml:space="preserve"> </w:t>
      </w:r>
      <w:r w:rsidRPr="00C046C8">
        <w:t>substances</w:t>
      </w:r>
      <w:r>
        <w:t xml:space="preserve"> </w:t>
      </w:r>
      <w:r w:rsidRPr="00C046C8">
        <w:t>actives</w:t>
      </w:r>
      <w:r>
        <w:t xml:space="preserve"> </w:t>
      </w:r>
      <w:r w:rsidRPr="00C046C8">
        <w:t>herbicides</w:t>
      </w:r>
      <w:r>
        <w:t xml:space="preserve"> </w:t>
      </w:r>
      <w:r w:rsidRPr="00C046C8">
        <w:t>à</w:t>
      </w:r>
      <w:r>
        <w:t xml:space="preserve"> </w:t>
      </w:r>
      <w:r w:rsidRPr="00C046C8">
        <w:t>large</w:t>
      </w:r>
      <w:r>
        <w:t xml:space="preserve"> </w:t>
      </w:r>
      <w:r w:rsidRPr="00C046C8">
        <w:t>spectre</w:t>
      </w:r>
      <w:r>
        <w:t xml:space="preserve"> </w:t>
      </w:r>
      <w:r w:rsidRPr="00C046C8">
        <w:t>les</w:t>
      </w:r>
      <w:r>
        <w:t xml:space="preserve"> </w:t>
      </w:r>
      <w:r w:rsidRPr="00C046C8">
        <w:t>plus</w:t>
      </w:r>
      <w:r>
        <w:t xml:space="preserve"> </w:t>
      </w:r>
      <w:r w:rsidRPr="00C046C8">
        <w:t>utilisées</w:t>
      </w:r>
      <w:r>
        <w:t xml:space="preserve"> </w:t>
      </w:r>
      <w:r w:rsidRPr="00C046C8">
        <w:t>dans</w:t>
      </w:r>
      <w:r>
        <w:t xml:space="preserve"> </w:t>
      </w:r>
      <w:r w:rsidRPr="00C046C8">
        <w:t>le</w:t>
      </w:r>
      <w:r>
        <w:t xml:space="preserve"> </w:t>
      </w:r>
      <w:r w:rsidRPr="00C046C8">
        <w:t>monde.</w:t>
      </w:r>
      <w:r>
        <w:t xml:space="preserve"> </w:t>
      </w:r>
      <w:r w:rsidRPr="00C046C8">
        <w:rPr>
          <w:bCs/>
        </w:rPr>
        <w:t>En</w:t>
      </w:r>
      <w:r>
        <w:rPr>
          <w:bCs/>
        </w:rPr>
        <w:t xml:space="preserve"> </w:t>
      </w:r>
      <w:r w:rsidRPr="00C046C8">
        <w:rPr>
          <w:bCs/>
        </w:rPr>
        <w:t>France,</w:t>
      </w:r>
      <w:r>
        <w:rPr>
          <w:bCs/>
        </w:rPr>
        <w:t xml:space="preserve"> </w:t>
      </w:r>
      <w:r w:rsidRPr="00C046C8">
        <w:rPr>
          <w:bCs/>
        </w:rPr>
        <w:t>il</w:t>
      </w:r>
      <w:r>
        <w:rPr>
          <w:bCs/>
        </w:rPr>
        <w:t xml:space="preserve"> </w:t>
      </w:r>
      <w:r w:rsidRPr="00C046C8">
        <w:rPr>
          <w:bCs/>
        </w:rPr>
        <w:t>est</w:t>
      </w:r>
      <w:r>
        <w:rPr>
          <w:bCs/>
        </w:rPr>
        <w:t xml:space="preserve"> </w:t>
      </w:r>
      <w:r w:rsidRPr="00C046C8">
        <w:rPr>
          <w:bCs/>
        </w:rPr>
        <w:t>utilisé</w:t>
      </w:r>
      <w:r>
        <w:rPr>
          <w:bCs/>
        </w:rPr>
        <w:t xml:space="preserve"> </w:t>
      </w:r>
      <w:r w:rsidRPr="00C046C8">
        <w:rPr>
          <w:bCs/>
        </w:rPr>
        <w:t>principalement</w:t>
      </w:r>
      <w:r>
        <w:rPr>
          <w:bCs/>
        </w:rPr>
        <w:t xml:space="preserve"> </w:t>
      </w:r>
      <w:r w:rsidRPr="00C046C8">
        <w:rPr>
          <w:bCs/>
        </w:rPr>
        <w:t>en</w:t>
      </w:r>
      <w:r>
        <w:rPr>
          <w:bCs/>
        </w:rPr>
        <w:t xml:space="preserve"> </w:t>
      </w:r>
      <w:r w:rsidRPr="00C046C8">
        <w:rPr>
          <w:bCs/>
        </w:rPr>
        <w:t>agriculture</w:t>
      </w:r>
      <w:r w:rsidRPr="00C046C8">
        <w:t>,</w:t>
      </w:r>
      <w:r>
        <w:t xml:space="preserve"> </w:t>
      </w:r>
      <w:r w:rsidRPr="00C046C8">
        <w:t>dans</w:t>
      </w:r>
      <w:r>
        <w:t xml:space="preserve"> </w:t>
      </w:r>
      <w:r w:rsidRPr="00C046C8">
        <w:t>une</w:t>
      </w:r>
      <w:r>
        <w:t xml:space="preserve"> </w:t>
      </w:r>
      <w:r w:rsidRPr="00C046C8">
        <w:t>large</w:t>
      </w:r>
      <w:r>
        <w:t xml:space="preserve"> </w:t>
      </w:r>
      <w:r w:rsidRPr="00C046C8">
        <w:t>gamme</w:t>
      </w:r>
      <w:r>
        <w:t xml:space="preserve"> </w:t>
      </w:r>
      <w:r w:rsidRPr="00C046C8">
        <w:t>de</w:t>
      </w:r>
      <w:r>
        <w:t xml:space="preserve"> </w:t>
      </w:r>
      <w:r w:rsidRPr="00C046C8">
        <w:t>rotations</w:t>
      </w:r>
      <w:r>
        <w:t xml:space="preserve"> </w:t>
      </w:r>
      <w:r w:rsidRPr="00C046C8">
        <w:t>et</w:t>
      </w:r>
      <w:r>
        <w:t xml:space="preserve"> </w:t>
      </w:r>
      <w:r w:rsidRPr="00C046C8">
        <w:t>de</w:t>
      </w:r>
      <w:r>
        <w:t xml:space="preserve"> </w:t>
      </w:r>
      <w:r w:rsidRPr="00C046C8">
        <w:t>cultures</w:t>
      </w:r>
      <w:r>
        <w:t xml:space="preserve"> </w:t>
      </w:r>
      <w:r w:rsidRPr="00C046C8">
        <w:t>comme</w:t>
      </w:r>
      <w:r>
        <w:t xml:space="preserve"> </w:t>
      </w:r>
      <w:r w:rsidRPr="00C046C8">
        <w:t>les</w:t>
      </w:r>
      <w:r>
        <w:t xml:space="preserve"> </w:t>
      </w:r>
      <w:r w:rsidRPr="00C046C8">
        <w:t>céréales,</w:t>
      </w:r>
      <w:r>
        <w:t xml:space="preserve"> </w:t>
      </w:r>
      <w:r w:rsidRPr="00C046C8">
        <w:t>le</w:t>
      </w:r>
      <w:r>
        <w:t xml:space="preserve"> </w:t>
      </w:r>
      <w:r w:rsidRPr="00C046C8">
        <w:t>colza,</w:t>
      </w:r>
      <w:r>
        <w:t xml:space="preserve"> </w:t>
      </w:r>
      <w:r w:rsidRPr="00C046C8">
        <w:t>le</w:t>
      </w:r>
      <w:r>
        <w:t xml:space="preserve"> </w:t>
      </w:r>
      <w:r w:rsidRPr="00C046C8">
        <w:t>tournesol,</w:t>
      </w:r>
      <w:r>
        <w:t xml:space="preserve"> </w:t>
      </w:r>
      <w:r w:rsidRPr="00C046C8">
        <w:t>le</w:t>
      </w:r>
      <w:r>
        <w:t xml:space="preserve"> </w:t>
      </w:r>
      <w:r w:rsidRPr="00C046C8">
        <w:t>maïs,</w:t>
      </w:r>
      <w:r>
        <w:t xml:space="preserve"> </w:t>
      </w:r>
      <w:r w:rsidRPr="00C046C8">
        <w:t>la</w:t>
      </w:r>
      <w:r>
        <w:t xml:space="preserve"> </w:t>
      </w:r>
      <w:r w:rsidRPr="00C046C8">
        <w:t>betterave</w:t>
      </w:r>
      <w:r>
        <w:t xml:space="preserve"> </w:t>
      </w:r>
      <w:r w:rsidRPr="00C046C8">
        <w:t>à</w:t>
      </w:r>
      <w:r>
        <w:t xml:space="preserve"> </w:t>
      </w:r>
      <w:r w:rsidRPr="00C046C8">
        <w:t>sucre,</w:t>
      </w:r>
      <w:r>
        <w:t xml:space="preserve"> </w:t>
      </w:r>
      <w:r w:rsidRPr="00C046C8">
        <w:t>les</w:t>
      </w:r>
      <w:r>
        <w:t xml:space="preserve"> </w:t>
      </w:r>
      <w:r w:rsidRPr="00C046C8">
        <w:t>prairies,</w:t>
      </w:r>
      <w:r>
        <w:t xml:space="preserve"> </w:t>
      </w:r>
      <w:r w:rsidRPr="00C046C8">
        <w:t>etc.</w:t>
      </w:r>
      <w:r>
        <w:t xml:space="preserve"> Il sert aussi à désherber les accotements de voies ferrées.</w:t>
      </w:r>
    </w:p>
    <w:p w14:paraId="1A4111DC" w14:textId="77777777" w:rsidR="00E25B20" w:rsidRPr="00C046C8" w:rsidRDefault="00E25B20" w:rsidP="00E25B20">
      <w:r>
        <w:t>Selon une étude conduite en 2012 par Envilys, le glyphosate est utilisé en France sur 38% des surfaces cultivées en blé et colza, 26% de celles cultivées en orge et 25% de celles cultivées en tournesol. Son poids pour l’agriculture française est ainsi considérable. Elle sert dans 70% des cas à la préparation du lit de semence, dans 30% des cas à la gestion des intercultures (couverts végétaux, désherbages des chaumes et repousses), et dans 75% des cas à la gestion des mauvaises herbes vivaces.</w:t>
      </w:r>
    </w:p>
    <w:p w14:paraId="4D56D4F4" w14:textId="77777777" w:rsidR="00E25B20" w:rsidRDefault="00E25B20" w:rsidP="00E25B20">
      <w:r>
        <w:t>Le g</w:t>
      </w:r>
      <w:r w:rsidRPr="00C046C8">
        <w:t>lyphosate</w:t>
      </w:r>
      <w:r>
        <w:t xml:space="preserve"> est une substance active aux effets précieux. Elle se distingue en effet par son e</w:t>
      </w:r>
      <w:r w:rsidRPr="0048122E">
        <w:t>fficacité agronomique</w:t>
      </w:r>
      <w:r>
        <w:t xml:space="preserve">. Elle permet de lutter contre </w:t>
      </w:r>
      <w:r w:rsidRPr="0048122E">
        <w:t>le développement des résistances et la saturation des sols</w:t>
      </w:r>
      <w:r>
        <w:t xml:space="preserve">. </w:t>
      </w:r>
    </w:p>
    <w:p w14:paraId="1734670C" w14:textId="1DEF33E2" w:rsidR="00E25B20" w:rsidRDefault="00E25B20" w:rsidP="00E25B20">
      <w:r>
        <w:t xml:space="preserve">Son action  systémique et non-sélective à très large spectre lui permet de remplacer à elle seule plusieurs autres produits phytosanitaires </w:t>
      </w:r>
      <w:r w:rsidR="00186971">
        <w:t xml:space="preserve">moins efficaces, </w:t>
      </w:r>
      <w:r>
        <w:t>qui, en son absence, devraient être utilisés. Un</w:t>
      </w:r>
      <w:r w:rsidR="00186971">
        <w:t>e</w:t>
      </w:r>
      <w:r>
        <w:t xml:space="preserve"> seul</w:t>
      </w:r>
      <w:r w:rsidR="00186971">
        <w:t xml:space="preserve">e application </w:t>
      </w:r>
      <w:r>
        <w:t>est nécessaire contre plusieurs</w:t>
      </w:r>
      <w:r w:rsidR="00300AAB">
        <w:t xml:space="preserve"> </w:t>
      </w:r>
      <w:r w:rsidR="00186971">
        <w:t>pour d’autres désherbants</w:t>
      </w:r>
      <w:r>
        <w:t xml:space="preserve">. De plus, le mode d’action foliaire du glyphosate permet de ne traiter que les mauvaises herbes présentes et développées. Lorsqu’il atteint le sol, le produit perd son activité désherbante et permet ainsi de planter rapidement les semis après l’application du produit. Il n’existe tout simplement pas d’alternative technique réelle au glyphosate pour éliminer durablement les plantes vivaces (chiendent, rumex, ambroisie, </w:t>
      </w:r>
      <w:r w:rsidR="00186971">
        <w:t>graminées adventices,</w:t>
      </w:r>
      <w:r w:rsidR="00300AAB">
        <w:t xml:space="preserve"> </w:t>
      </w:r>
      <w:r>
        <w:t>etc.).</w:t>
      </w:r>
    </w:p>
    <w:p w14:paraId="5061EB36" w14:textId="77777777" w:rsidR="00E25B20" w:rsidRDefault="00E25B20" w:rsidP="00E25B20">
      <w:r>
        <w:t>Le glyphosate présente également l’avantage de réduire le besoin de labour et de travail du sol. Il limite ainsi l’érosion du sol, réduit les émissions de gaz à effet de serre et la consommation d’énergie, et réduit aussi les coûts</w:t>
      </w:r>
      <w:r>
        <w:rPr>
          <w:rStyle w:val="Appelnotedebasdep"/>
        </w:rPr>
        <w:footnoteReference w:id="8"/>
      </w:r>
      <w:r>
        <w:t>. Il est ainsi un vecteur de rentabilité de l’exploitation et donc de maintien des exploitations agricoles sur le territoire.</w:t>
      </w:r>
    </w:p>
    <w:p w14:paraId="578944C4" w14:textId="77777777" w:rsidR="00E25B20" w:rsidRPr="0048122E" w:rsidRDefault="00E25B20" w:rsidP="00E25B20">
      <w:r>
        <w:rPr>
          <w:b/>
        </w:rPr>
        <w:t>L’</w:t>
      </w:r>
      <w:r w:rsidRPr="002D7D7A">
        <w:rPr>
          <w:b/>
        </w:rPr>
        <w:t xml:space="preserve">intérêt </w:t>
      </w:r>
      <w:r>
        <w:rPr>
          <w:b/>
        </w:rPr>
        <w:t xml:space="preserve">du glyphosate, en synthèse, </w:t>
      </w:r>
      <w:r w:rsidRPr="002D7D7A">
        <w:rPr>
          <w:b/>
        </w:rPr>
        <w:t>est donc tout autant socio-économique qu’environnemental et agronomique.</w:t>
      </w:r>
    </w:p>
    <w:p w14:paraId="2E9F0ED1" w14:textId="738372B9" w:rsidR="00723E74" w:rsidRDefault="00723E74" w:rsidP="00723E74">
      <w:pPr>
        <w:pStyle w:val="Titre3"/>
      </w:pPr>
      <w:bookmarkStart w:id="12" w:name="_Toc360458879"/>
      <w:r>
        <w:t xml:space="preserve">De nombreux risques associés à une interdiction, y compris </w:t>
      </w:r>
      <w:r w:rsidR="00F44716">
        <w:t xml:space="preserve">sanitaires et </w:t>
      </w:r>
      <w:r>
        <w:t>environnementaux</w:t>
      </w:r>
      <w:bookmarkEnd w:id="12"/>
    </w:p>
    <w:p w14:paraId="498F6551" w14:textId="1DFC4F71" w:rsidR="00BE21FA" w:rsidRPr="00BE21FA" w:rsidRDefault="00111153" w:rsidP="00BE21FA">
      <w:r>
        <w:t>Interdire le glyphosate aurait des conséquences économiques, sociales, environnementales et institutionnelles considérables.</w:t>
      </w:r>
    </w:p>
    <w:p w14:paraId="47429136" w14:textId="4D945DB9" w:rsidR="00723E74" w:rsidRPr="00BE21FA" w:rsidRDefault="00723E74" w:rsidP="0090070D">
      <w:pPr>
        <w:pStyle w:val="Titre4"/>
        <w:numPr>
          <w:ilvl w:val="0"/>
          <w:numId w:val="20"/>
        </w:numPr>
        <w:rPr>
          <w:rFonts w:ascii="Corbel" w:hAnsi="Corbel"/>
        </w:rPr>
      </w:pPr>
      <w:bookmarkStart w:id="13" w:name="_Toc360458880"/>
      <w:r w:rsidRPr="00BE21FA">
        <w:rPr>
          <w:rFonts w:ascii="Corbel" w:hAnsi="Corbel"/>
        </w:rPr>
        <w:t>Des techniques de substitution potentiellement plus dangereuses pour l’environnement</w:t>
      </w:r>
      <w:r w:rsidR="00F44716" w:rsidRPr="00BE21FA">
        <w:rPr>
          <w:rFonts w:ascii="Corbel" w:hAnsi="Corbel"/>
        </w:rPr>
        <w:t xml:space="preserve"> et la santé</w:t>
      </w:r>
      <w:bookmarkEnd w:id="13"/>
    </w:p>
    <w:p w14:paraId="78E4B3A1" w14:textId="6DD68A4F" w:rsidR="00723E74" w:rsidRDefault="00723E74" w:rsidP="00BE21FA">
      <w:r w:rsidRPr="0048122E">
        <w:t xml:space="preserve">Les techniques de substitution </w:t>
      </w:r>
      <w:r w:rsidR="00BE21FA">
        <w:t xml:space="preserve">au glyphosate </w:t>
      </w:r>
      <w:r w:rsidRPr="0048122E">
        <w:t xml:space="preserve">pourraient être </w:t>
      </w:r>
      <w:r w:rsidR="00BE21FA">
        <w:t>bien plus</w:t>
      </w:r>
      <w:r w:rsidRPr="0048122E">
        <w:t xml:space="preserve"> risquées</w:t>
      </w:r>
      <w:r w:rsidR="00BE21FA">
        <w:t xml:space="preserve"> que son emploi. Il pourrait en effet être remplacé par des</w:t>
      </w:r>
      <w:r w:rsidRPr="0048122E">
        <w:t xml:space="preserve"> molécules plus dangereuses</w:t>
      </w:r>
      <w:r w:rsidR="00BE21FA">
        <w:t>, utilisées de façon plus intensives, cette s</w:t>
      </w:r>
      <w:r w:rsidRPr="0048122E">
        <w:t xml:space="preserve">ur-utilisation </w:t>
      </w:r>
      <w:r w:rsidR="00BE21FA">
        <w:t>entraînant le développement</w:t>
      </w:r>
      <w:r w:rsidRPr="0048122E">
        <w:t xml:space="preserve"> </w:t>
      </w:r>
      <w:r w:rsidR="00BE21FA">
        <w:t>de</w:t>
      </w:r>
      <w:r w:rsidRPr="0048122E">
        <w:t xml:space="preserve"> résistances à ces molécules</w:t>
      </w:r>
      <w:r w:rsidR="00BE21FA">
        <w:t xml:space="preserve">. </w:t>
      </w:r>
    </w:p>
    <w:p w14:paraId="555EA4E2" w14:textId="1BE30D5E" w:rsidR="00F44716" w:rsidRDefault="00BE21FA" w:rsidP="00BE21FA">
      <w:r>
        <w:t>A l’exception du désherbage mécanique (coûteux en temps, en ressources et en CO2) le glyphosate est la seule alternative au labour.  Remettre en cause le glyphosate serait réintroduire la nécessité de labourer. Or a</w:t>
      </w:r>
      <w:r w:rsidR="00F44716">
        <w:t xml:space="preserve">ujourd’hui </w:t>
      </w:r>
      <w:r>
        <w:t>le</w:t>
      </w:r>
      <w:r w:rsidR="00F44716">
        <w:t xml:space="preserve"> labour</w:t>
      </w:r>
      <w:r>
        <w:t xml:space="preserve"> </w:t>
      </w:r>
      <w:r w:rsidR="00186971">
        <w:t>profond  est de moins en moins pratiqué</w:t>
      </w:r>
      <w:r w:rsidR="00300AAB">
        <w:t xml:space="preserve"> </w:t>
      </w:r>
      <w:r>
        <w:t>car il est considéré comme trop préjudiciable</w:t>
      </w:r>
      <w:r w:rsidR="00186971">
        <w:t xml:space="preserve"> à la fertilité des sols</w:t>
      </w:r>
      <w:r>
        <w:t>. C</w:t>
      </w:r>
      <w:r w:rsidR="00F44716">
        <w:t xml:space="preserve">ultiver sans labour économise des intrants, évite d’abîmer le sol, </w:t>
      </w:r>
      <w:r>
        <w:t xml:space="preserve">épargne le </w:t>
      </w:r>
      <w:r w:rsidR="00F44716">
        <w:t xml:space="preserve">coût écologique </w:t>
      </w:r>
      <w:r>
        <w:t>d’un tracteur</w:t>
      </w:r>
      <w:r w:rsidR="00F44716">
        <w:t>.</w:t>
      </w:r>
      <w:r>
        <w:t xml:space="preserve"> L’absence de labour </w:t>
      </w:r>
      <w:r w:rsidR="00D33CE8">
        <w:t>est un vrai progrès</w:t>
      </w:r>
      <w:r w:rsidR="00186971">
        <w:t xml:space="preserve"> agronomique,</w:t>
      </w:r>
      <w:r w:rsidR="00D33CE8">
        <w:t xml:space="preserve"> écologique et économique. </w:t>
      </w:r>
      <w:r w:rsidR="00186971">
        <w:t>Or, e</w:t>
      </w:r>
      <w:r>
        <w:t>n absence de labour</w:t>
      </w:r>
      <w:r w:rsidR="00F44716">
        <w:t xml:space="preserve">, </w:t>
      </w:r>
      <w:r>
        <w:t>il est impératif d’enlever les adventices</w:t>
      </w:r>
      <w:r w:rsidR="0019245B">
        <w:t xml:space="preserve">, notamment les graminées dans les parcelles de céréales, </w:t>
      </w:r>
      <w:r>
        <w:t xml:space="preserve"> sous peine du</w:t>
      </w:r>
      <w:r w:rsidR="00F44716">
        <w:t xml:space="preserve"> risque de développement de l’ergot de seigle</w:t>
      </w:r>
      <w:r w:rsidR="0019245B">
        <w:t xml:space="preserve"> – particulièrement toxique - </w:t>
      </w:r>
      <w:r>
        <w:t xml:space="preserve"> par exemple</w:t>
      </w:r>
      <w:r w:rsidR="00F44716">
        <w:t xml:space="preserve">. </w:t>
      </w:r>
    </w:p>
    <w:p w14:paraId="6C1EDA07" w14:textId="641DF97C" w:rsidR="00BE21FA" w:rsidRDefault="00F52413" w:rsidP="00F52413">
      <w:pPr>
        <w:pStyle w:val="Titre4"/>
      </w:pPr>
      <w:bookmarkStart w:id="14" w:name="_Toc360458881"/>
      <w:r>
        <w:t xml:space="preserve">Le coût économique d’une disparition du glyphosate : </w:t>
      </w:r>
      <w:r w:rsidR="00446213">
        <w:t>975 milliards d’euros en fourchette basse</w:t>
      </w:r>
      <w:bookmarkEnd w:id="14"/>
    </w:p>
    <w:p w14:paraId="2DEEEADA" w14:textId="3EE4444D" w:rsidR="00F52413" w:rsidRDefault="00E31C43" w:rsidP="00BE21FA">
      <w:r>
        <w:t xml:space="preserve">Nous avons demandé à Arvalis de bien vouloir proposer une évaluation des conséquences d’une </w:t>
      </w:r>
      <w:r w:rsidR="002426BD">
        <w:t>fin de l’usage du glyphosate, en l’état actuel des techniques et des molécules disponibles.</w:t>
      </w:r>
    </w:p>
    <w:p w14:paraId="3A82F785" w14:textId="3B143ADE" w:rsidR="00E31C43" w:rsidRDefault="000F42FB" w:rsidP="00C50855">
      <w:pPr>
        <w:ind w:firstLine="0"/>
        <w:jc w:val="center"/>
      </w:pPr>
      <w:r>
        <w:rPr>
          <w:noProof/>
          <w:lang w:eastAsia="fr-FR"/>
        </w:rPr>
        <w:drawing>
          <wp:inline distT="0" distB="0" distL="0" distR="0" wp14:anchorId="3433283F" wp14:editId="71CC0622">
            <wp:extent cx="5385435" cy="2216150"/>
            <wp:effectExtent l="0" t="0" r="0" b="0"/>
            <wp:docPr id="1" name="Picture 1" descr="Macintosh HD:Users:olivierbabeau:Library:Mobile Documents:com~apple~CloudDocs:Concorde:Phytosanitaire:Tableaux arvalis:Inter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ierbabeau:Library:Mobile Documents:com~apple~CloudDocs:Concorde:Phytosanitaire:Tableaux arvalis:Intercul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5435" cy="2216150"/>
                    </a:xfrm>
                    <a:prstGeom prst="rect">
                      <a:avLst/>
                    </a:prstGeom>
                    <a:noFill/>
                    <a:ln>
                      <a:noFill/>
                    </a:ln>
                  </pic:spPr>
                </pic:pic>
              </a:graphicData>
            </a:graphic>
          </wp:inline>
        </w:drawing>
      </w:r>
    </w:p>
    <w:p w14:paraId="3D9E09EB" w14:textId="09E0794C" w:rsidR="00E31C43" w:rsidRDefault="000F42FB" w:rsidP="000F42FB">
      <w:pPr>
        <w:pStyle w:val="Lgende"/>
      </w:pPr>
      <w:r>
        <w:t xml:space="preserve">Tableau </w:t>
      </w:r>
      <w:r>
        <w:fldChar w:fldCharType="begin"/>
      </w:r>
      <w:r>
        <w:instrText xml:space="preserve"> SEQ Tableau \* ARABIC </w:instrText>
      </w:r>
      <w:r>
        <w:fldChar w:fldCharType="separate"/>
      </w:r>
      <w:r w:rsidR="002426BD">
        <w:rPr>
          <w:noProof/>
        </w:rPr>
        <w:t>1</w:t>
      </w:r>
      <w:r>
        <w:fldChar w:fldCharType="end"/>
      </w:r>
      <w:r>
        <w:t xml:space="preserve"> : </w:t>
      </w:r>
      <w:r w:rsidR="002426BD">
        <w:t>Application en interculture</w:t>
      </w:r>
      <w:r w:rsidR="00A739DD">
        <w:t xml:space="preserve"> (40% de la consommation agricole de glyphosate</w:t>
      </w:r>
      <w:r w:rsidR="007F786E">
        <w:t>)</w:t>
      </w:r>
      <w:r w:rsidR="00A739DD">
        <w:t>. Voir en annexe pour les hypoth</w:t>
      </w:r>
      <w:r w:rsidR="00C748FE">
        <w:t>èses associées (sources : Arvalis)</w:t>
      </w:r>
    </w:p>
    <w:p w14:paraId="41B48131" w14:textId="77777777" w:rsidR="00F52413" w:rsidRDefault="00F52413" w:rsidP="00BE21FA"/>
    <w:p w14:paraId="5647F765" w14:textId="000AA676" w:rsidR="002426BD" w:rsidRDefault="002426BD" w:rsidP="00C50855">
      <w:pPr>
        <w:ind w:firstLine="0"/>
      </w:pPr>
      <w:r>
        <w:rPr>
          <w:noProof/>
          <w:lang w:eastAsia="fr-FR"/>
        </w:rPr>
        <w:drawing>
          <wp:inline distT="0" distB="0" distL="0" distR="0" wp14:anchorId="711673A6" wp14:editId="3C115585">
            <wp:extent cx="5393690" cy="922020"/>
            <wp:effectExtent l="0" t="0" r="0" b="0"/>
            <wp:docPr id="6" name="Picture 6" descr="Macintosh HD:Users:olivierbabeau:Library:Mobile Documents:com~apple~CloudDocs:Concorde:Phytosanitaire:Tableaux arvalis:autres usages agric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olivierbabeau:Library:Mobile Documents:com~apple~CloudDocs:Concorde:Phytosanitaire:Tableaux arvalis:autres usages agrico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3690" cy="922020"/>
                    </a:xfrm>
                    <a:prstGeom prst="rect">
                      <a:avLst/>
                    </a:prstGeom>
                    <a:noFill/>
                    <a:ln>
                      <a:noFill/>
                    </a:ln>
                  </pic:spPr>
                </pic:pic>
              </a:graphicData>
            </a:graphic>
          </wp:inline>
        </w:drawing>
      </w:r>
    </w:p>
    <w:p w14:paraId="33A0B9DC" w14:textId="1E274E19" w:rsidR="002426BD" w:rsidRDefault="002426BD" w:rsidP="002426BD">
      <w:pPr>
        <w:pStyle w:val="Lgende"/>
      </w:pPr>
      <w:r>
        <w:t xml:space="preserve">Tableau </w:t>
      </w:r>
      <w:r>
        <w:fldChar w:fldCharType="begin"/>
      </w:r>
      <w:r>
        <w:instrText xml:space="preserve"> SEQ Tableau \* ARABIC </w:instrText>
      </w:r>
      <w:r>
        <w:fldChar w:fldCharType="separate"/>
      </w:r>
      <w:r>
        <w:rPr>
          <w:noProof/>
        </w:rPr>
        <w:t>2</w:t>
      </w:r>
      <w:r>
        <w:fldChar w:fldCharType="end"/>
      </w:r>
      <w:r>
        <w:t> : Autres usages agricoles (destruction de prairies, entretien jachères, bordures, etc.)</w:t>
      </w:r>
      <w:r w:rsidR="007F786E">
        <w:t>. Envir</w:t>
      </w:r>
      <w:r w:rsidR="00C748FE">
        <w:t>on 20% des usages du glyphosate (source : Arvalis)</w:t>
      </w:r>
    </w:p>
    <w:p w14:paraId="38070138" w14:textId="3CFC03AE" w:rsidR="002426BD" w:rsidRDefault="002426BD" w:rsidP="00BE21FA">
      <w:pPr>
        <w:rPr>
          <w:b/>
        </w:rPr>
      </w:pPr>
      <w:r w:rsidRPr="002426BD">
        <w:rPr>
          <w:b/>
        </w:rPr>
        <w:t>Le total général du coût associé à la fin du glyphosate pour les seules activités agricoles est ainsi de 976 millions d’euros.</w:t>
      </w:r>
    </w:p>
    <w:p w14:paraId="6F2DF5B4" w14:textId="345101C1" w:rsidR="007936BB" w:rsidRDefault="007936BB" w:rsidP="00BE21FA">
      <w:pPr>
        <w:rPr>
          <w:b/>
        </w:rPr>
      </w:pPr>
      <w:r>
        <w:rPr>
          <w:b/>
        </w:rPr>
        <w:t>A ces coûts chiffrables s’ajoutent des conséquences très difficilement chiffrables</w:t>
      </w:r>
      <w:r w:rsidR="006C51D9">
        <w:rPr>
          <w:b/>
        </w:rPr>
        <w:t xml:space="preserve"> mais pas moins réelles.</w:t>
      </w:r>
    </w:p>
    <w:p w14:paraId="28CEB110" w14:textId="648CB983" w:rsidR="006C51D9" w:rsidRPr="006C51D9" w:rsidRDefault="006C51D9" w:rsidP="006C51D9">
      <w:pPr>
        <w:pStyle w:val="Paragraphedeliste"/>
        <w:numPr>
          <w:ilvl w:val="0"/>
          <w:numId w:val="25"/>
        </w:numPr>
        <w:rPr>
          <w:b/>
        </w:rPr>
      </w:pPr>
      <w:r w:rsidRPr="006C51D9">
        <w:rPr>
          <w:b/>
        </w:rPr>
        <w:t>Tassement des sols :</w:t>
      </w:r>
    </w:p>
    <w:p w14:paraId="312B67CC" w14:textId="3E22E31C" w:rsidR="006C51D9" w:rsidRDefault="006C51D9" w:rsidP="006C51D9">
      <w:pPr>
        <w:pStyle w:val="Paragraphedeliste"/>
        <w:numPr>
          <w:ilvl w:val="1"/>
          <w:numId w:val="25"/>
        </w:numPr>
      </w:pPr>
      <w:r w:rsidRPr="006C51D9">
        <w:t>L’augmentation du nombre</w:t>
      </w:r>
      <w:r>
        <w:t xml:space="preserve"> de passages pour compenser par des actions mécaniques l’effet d’un désherbage chimique va augmenter les risques de tassement. </w:t>
      </w:r>
    </w:p>
    <w:p w14:paraId="0115D898" w14:textId="5380B1AD" w:rsidR="006C51D9" w:rsidRDefault="006C51D9" w:rsidP="006C51D9">
      <w:pPr>
        <w:pStyle w:val="Paragraphedeliste"/>
        <w:numPr>
          <w:ilvl w:val="1"/>
          <w:numId w:val="25"/>
        </w:numPr>
      </w:pPr>
      <w:r>
        <w:t xml:space="preserve">Or le tassement des sols est </w:t>
      </w:r>
      <w:r w:rsidRPr="006C51D9">
        <w:rPr>
          <w:b/>
        </w:rPr>
        <w:t>une des causes de perte de fertilité</w:t>
      </w:r>
      <w:r>
        <w:t xml:space="preserve"> par diminution de la réserve hydrique, du potentiel d’enracinement, d’exploration du sol par les racines, etc.</w:t>
      </w:r>
    </w:p>
    <w:p w14:paraId="0B2D1364" w14:textId="7155F3D0" w:rsidR="006C51D9" w:rsidRPr="00C50855" w:rsidRDefault="006C51D9" w:rsidP="006C51D9">
      <w:pPr>
        <w:pStyle w:val="Paragraphedeliste"/>
        <w:numPr>
          <w:ilvl w:val="0"/>
          <w:numId w:val="25"/>
        </w:numPr>
        <w:rPr>
          <w:b/>
        </w:rPr>
      </w:pPr>
      <w:r w:rsidRPr="00C50855">
        <w:rPr>
          <w:b/>
        </w:rPr>
        <w:t xml:space="preserve">Erosion : </w:t>
      </w:r>
    </w:p>
    <w:p w14:paraId="40936351" w14:textId="50A96BDE" w:rsidR="006C51D9" w:rsidRDefault="006C51D9" w:rsidP="006C51D9">
      <w:pPr>
        <w:pStyle w:val="Paragraphedeliste"/>
        <w:numPr>
          <w:ilvl w:val="1"/>
          <w:numId w:val="25"/>
        </w:numPr>
      </w:pPr>
      <w:r>
        <w:t xml:space="preserve">La fréquence d’utilisation du labour en remplacement du semis direct permis par le désherbage au glyphosate expose davantage les sols à l’érosion hydrique. </w:t>
      </w:r>
    </w:p>
    <w:p w14:paraId="0E9BFB65" w14:textId="7A034814" w:rsidR="006C51D9" w:rsidRPr="00C50855" w:rsidRDefault="006C51D9" w:rsidP="006C51D9">
      <w:pPr>
        <w:pStyle w:val="Paragraphedeliste"/>
        <w:numPr>
          <w:ilvl w:val="0"/>
          <w:numId w:val="25"/>
        </w:numPr>
        <w:rPr>
          <w:b/>
        </w:rPr>
      </w:pPr>
      <w:r w:rsidRPr="00C50855">
        <w:rPr>
          <w:b/>
        </w:rPr>
        <w:t>Bilan carbone :</w:t>
      </w:r>
    </w:p>
    <w:p w14:paraId="6AF1115D" w14:textId="2054B794" w:rsidR="006C51D9" w:rsidRDefault="006C51D9" w:rsidP="006C51D9">
      <w:pPr>
        <w:pStyle w:val="Paragraphedeliste"/>
        <w:numPr>
          <w:ilvl w:val="1"/>
          <w:numId w:val="25"/>
        </w:numPr>
      </w:pPr>
      <w:r>
        <w:t>L’augmentation du nombre de passages, la reconversion du semis direct au labour, vont augmenter l’utilisation d’énergie fossile donc dégrader le bilan environnemental de l’exploitation.</w:t>
      </w:r>
    </w:p>
    <w:p w14:paraId="5A341FFC" w14:textId="77777777" w:rsidR="0019245B" w:rsidRDefault="0019245B" w:rsidP="00A07706">
      <w:pPr>
        <w:pStyle w:val="Paragraphedeliste"/>
        <w:ind w:left="1724" w:firstLine="0"/>
      </w:pPr>
    </w:p>
    <w:p w14:paraId="1CBBFAEA" w14:textId="77777777" w:rsidR="0019245B" w:rsidRDefault="0019245B" w:rsidP="00A07706">
      <w:pPr>
        <w:pStyle w:val="Paragraphedeliste"/>
        <w:ind w:left="1724" w:firstLine="0"/>
      </w:pPr>
    </w:p>
    <w:p w14:paraId="6D135A71" w14:textId="76C9D253" w:rsidR="006C51D9" w:rsidRPr="00C50855" w:rsidRDefault="006C51D9" w:rsidP="006C51D9">
      <w:pPr>
        <w:pStyle w:val="Paragraphedeliste"/>
        <w:numPr>
          <w:ilvl w:val="0"/>
          <w:numId w:val="25"/>
        </w:numPr>
        <w:rPr>
          <w:b/>
        </w:rPr>
      </w:pPr>
      <w:r w:rsidRPr="00C50855">
        <w:rPr>
          <w:b/>
        </w:rPr>
        <w:t>Charge de travail :</w:t>
      </w:r>
    </w:p>
    <w:p w14:paraId="3796B3B0" w14:textId="729599DA" w:rsidR="006C51D9" w:rsidRDefault="006C51D9" w:rsidP="006C51D9">
      <w:pPr>
        <w:pStyle w:val="Paragraphedeliste"/>
        <w:numPr>
          <w:ilvl w:val="1"/>
          <w:numId w:val="25"/>
        </w:numPr>
      </w:pPr>
      <w:r>
        <w:t>Le glyphosate permet à un agriculteur d’exploiter des surfaces plus grandes permettant à des exploitations en zones difficiles d’atteindre un seuil minimum de rentabilité. Les alternatives mécaniques au glyphosate</w:t>
      </w:r>
      <w:r w:rsidR="00C50855">
        <w:t xml:space="preserve"> vont augmenter les temps de travaux et peuvent remettre en question la rentabilité de certaines exploitation</w:t>
      </w:r>
      <w:r w:rsidR="0019245B">
        <w:t>s</w:t>
      </w:r>
      <w:r w:rsidR="00C50855">
        <w:t xml:space="preserve"> en zones intermédiaires.</w:t>
      </w:r>
    </w:p>
    <w:p w14:paraId="7E3961CE" w14:textId="5186770A" w:rsidR="00C50855" w:rsidRPr="00C50855" w:rsidRDefault="00C50855" w:rsidP="00C50855">
      <w:pPr>
        <w:pStyle w:val="Paragraphedeliste"/>
        <w:numPr>
          <w:ilvl w:val="0"/>
          <w:numId w:val="25"/>
        </w:numPr>
        <w:rPr>
          <w:b/>
        </w:rPr>
      </w:pPr>
      <w:r w:rsidRPr="00C50855">
        <w:rPr>
          <w:b/>
        </w:rPr>
        <w:t>Perte de compétitivité :</w:t>
      </w:r>
    </w:p>
    <w:p w14:paraId="2E91A28F" w14:textId="2238E785" w:rsidR="00C50855" w:rsidRDefault="00C50855" w:rsidP="00C50855">
      <w:pPr>
        <w:pStyle w:val="Paragraphedeliste"/>
        <w:numPr>
          <w:ilvl w:val="1"/>
          <w:numId w:val="25"/>
        </w:numPr>
      </w:pPr>
      <w:r>
        <w:t>Les alternatives étant plus coûteuses, le prix de revient de la tonne produite va augmenter, réduisant la compétitivité des exploitations françaises (a fortiori alors que nos coûts de main d’œuvre sont plus élevés que dans les pays de l’est par exemple).</w:t>
      </w:r>
    </w:p>
    <w:p w14:paraId="2275F4B1" w14:textId="4555CDF7" w:rsidR="00C50855" w:rsidRPr="00C50855" w:rsidRDefault="00C50855" w:rsidP="00C50855">
      <w:pPr>
        <w:pStyle w:val="Paragraphedeliste"/>
        <w:numPr>
          <w:ilvl w:val="0"/>
          <w:numId w:val="25"/>
        </w:numPr>
        <w:rPr>
          <w:b/>
        </w:rPr>
      </w:pPr>
      <w:r w:rsidRPr="00C50855">
        <w:rPr>
          <w:b/>
        </w:rPr>
        <w:t>Enherbement :</w:t>
      </w:r>
    </w:p>
    <w:p w14:paraId="07CB44F7" w14:textId="11B268E1" w:rsidR="00C50855" w:rsidRDefault="00C50855" w:rsidP="00C50855">
      <w:pPr>
        <w:pStyle w:val="Paragraphedeliste"/>
        <w:numPr>
          <w:ilvl w:val="1"/>
          <w:numId w:val="25"/>
        </w:numPr>
      </w:pPr>
      <w:r>
        <w:t>Le désherbage au glyphosate avant la mise en culture a un effet nettoyant sur les populations d’adventices. La suppression de cette fonction va augmenter la pression des mauvaises herbes dans un contexte où les risques d’adventices résistantes est en augmentation (du fait notamment de la réduction du nombre de solutions</w:t>
      </w:r>
      <w:r w:rsidR="0019245B">
        <w:t xml:space="preserve"> phytosanitaires</w:t>
      </w:r>
      <w:r>
        <w:t>).</w:t>
      </w:r>
    </w:p>
    <w:p w14:paraId="7B6AB498" w14:textId="0E432296" w:rsidR="00723E74" w:rsidRPr="00BE21FA" w:rsidRDefault="00723E74" w:rsidP="00723E74">
      <w:pPr>
        <w:pStyle w:val="Titre4"/>
        <w:rPr>
          <w:rFonts w:ascii="Corbel" w:hAnsi="Corbel"/>
        </w:rPr>
      </w:pPr>
      <w:bookmarkStart w:id="15" w:name="_Toc360458882"/>
      <w:r w:rsidRPr="00BE21FA">
        <w:rPr>
          <w:rFonts w:ascii="Corbel" w:hAnsi="Corbel"/>
        </w:rPr>
        <w:t>L’aménagement du territoire déséquilibré</w:t>
      </w:r>
      <w:bookmarkEnd w:id="15"/>
    </w:p>
    <w:p w14:paraId="0786F479" w14:textId="57D2A941" w:rsidR="00F52413" w:rsidRDefault="00C775F9" w:rsidP="00F52413">
      <w:r w:rsidRPr="00BE21FA">
        <w:t xml:space="preserve">L’interdiction du glyphosate pourrait </w:t>
      </w:r>
      <w:r w:rsidR="00F52413">
        <w:t>entraîner un</w:t>
      </w:r>
      <w:r w:rsidR="006E3A17">
        <w:t xml:space="preserve"> recul des surfaces cultivées en France impactant fortement les paysages et les équilibres territoriaux</w:t>
      </w:r>
    </w:p>
    <w:p w14:paraId="198C6852" w14:textId="3A8AD719" w:rsidR="00723E74" w:rsidRPr="00BE21FA" w:rsidRDefault="00723E74" w:rsidP="00723E74">
      <w:pPr>
        <w:pStyle w:val="Titre4"/>
        <w:rPr>
          <w:rFonts w:ascii="Corbel" w:hAnsi="Corbel"/>
        </w:rPr>
      </w:pPr>
      <w:bookmarkStart w:id="16" w:name="_Toc360458883"/>
      <w:r w:rsidRPr="00BE21FA">
        <w:rPr>
          <w:rFonts w:ascii="Corbel" w:hAnsi="Corbel"/>
        </w:rPr>
        <w:t>Une crédibilité des agences gravement remise en cause</w:t>
      </w:r>
      <w:bookmarkEnd w:id="16"/>
    </w:p>
    <w:p w14:paraId="1B5B5C4A" w14:textId="5F659AAC" w:rsidR="005C0634" w:rsidRPr="005C0634" w:rsidRDefault="00F52413" w:rsidP="000F7632">
      <w:r>
        <w:t xml:space="preserve">Le dernier effet probable d’une </w:t>
      </w:r>
      <w:r w:rsidR="00C775F9" w:rsidRPr="00BE21FA">
        <w:t>interdiction</w:t>
      </w:r>
      <w:r>
        <w:t xml:space="preserve"> du glyphosate serait symbolique, mais pas moins préoccupant que les précédents : une interdiction en dépit de l’absence de preuve scientifique créerait un précédent désastreux et remettrait en</w:t>
      </w:r>
      <w:r w:rsidR="00C775F9" w:rsidRPr="00BE21FA">
        <w:t xml:space="preserve"> cause les agences qui ont</w:t>
      </w:r>
      <w:r>
        <w:t xml:space="preserve"> autorisé son maintien ou ont soutenu son absence de nocivité (ANSES, ECHA et</w:t>
      </w:r>
      <w:r w:rsidR="00C775F9" w:rsidRPr="00BE21FA">
        <w:t xml:space="preserve"> EFSA)</w:t>
      </w:r>
      <w:r>
        <w:t>. La décrédibilisation des</w:t>
      </w:r>
      <w:r w:rsidR="00C91490">
        <w:t xml:space="preserve"> agences serait un premier pas redoutable vers une coupure accentuée entre les faits et les avis d’expertise d’une part et les décisions politiques d’autre part. De quoi alimenter et développer le mouvement de méfiance contre la science, qui y verrait une sorte de confirmation de ses </w:t>
      </w:r>
      <w:r w:rsidR="000F7632">
        <w:t>craintes.</w:t>
      </w:r>
    </w:p>
    <w:p w14:paraId="3481C32C" w14:textId="74D974B1" w:rsidR="00B7660D" w:rsidRPr="00B7660D" w:rsidRDefault="00B7660D" w:rsidP="0011699B">
      <w:pPr>
        <w:pStyle w:val="Titre2"/>
      </w:pPr>
      <w:bookmarkStart w:id="17" w:name="_Toc360458884"/>
      <w:r>
        <w:t xml:space="preserve">Un </w:t>
      </w:r>
      <w:r w:rsidR="00723E74">
        <w:t>enjeu</w:t>
      </w:r>
      <w:r>
        <w:t xml:space="preserve"> majeur pour</w:t>
      </w:r>
      <w:r w:rsidR="00F44716">
        <w:t xml:space="preserve"> l’entretien des espaces publics : l’exemple de</w:t>
      </w:r>
      <w:r>
        <w:t xml:space="preserve"> la SNCF</w:t>
      </w:r>
      <w:bookmarkEnd w:id="17"/>
    </w:p>
    <w:p w14:paraId="340EF301" w14:textId="08ACEBF4" w:rsidR="00EB1EDC" w:rsidRPr="006E3A17" w:rsidRDefault="00EB1EDC" w:rsidP="00EA0752">
      <w:pPr>
        <w:rPr>
          <w:rFonts w:ascii="Corbel" w:hAnsi="Corbel"/>
          <w:b/>
        </w:rPr>
      </w:pPr>
      <w:r>
        <w:rPr>
          <w:rFonts w:ascii="Corbel" w:hAnsi="Corbel"/>
        </w:rPr>
        <w:t>Le réseau ferré national est en dehors du champ d’application de la loi Labbé qui interdit aux collectivités publiques d’utiliser du glyphosate.</w:t>
      </w:r>
      <w:r w:rsidR="00EA0752">
        <w:rPr>
          <w:rFonts w:ascii="Corbel" w:hAnsi="Corbel"/>
        </w:rPr>
        <w:t xml:space="preserve"> </w:t>
      </w:r>
      <w:r>
        <w:rPr>
          <w:rFonts w:ascii="Corbel" w:hAnsi="Corbel"/>
        </w:rPr>
        <w:t>Cependant, la SNCF Réseau s’est engagée pour trouver des solutions alternatives à cette substance en lançant divers projets transversaux (production, environnemental, groupe SNCF, sécurité).</w:t>
      </w:r>
      <w:r w:rsidR="00EA0752">
        <w:rPr>
          <w:rFonts w:ascii="Corbel" w:hAnsi="Corbel"/>
        </w:rPr>
        <w:t xml:space="preserve"> A l’heure actuelle, </w:t>
      </w:r>
      <w:r w:rsidR="00EA0752" w:rsidRPr="006E3A17">
        <w:rPr>
          <w:rFonts w:ascii="Corbel" w:hAnsi="Corbel"/>
          <w:b/>
        </w:rPr>
        <w:t>une interdiction immédiate de l’utilisation de cet herbicide aurait des conséquences économiques et organisationnelles importantes pour l’entreprise.</w:t>
      </w:r>
    </w:p>
    <w:p w14:paraId="3C8D49C0" w14:textId="72F573DC" w:rsidR="00EB1EDC" w:rsidRPr="00EB1EDC" w:rsidRDefault="00EB1EDC" w:rsidP="00723E74">
      <w:pPr>
        <w:pStyle w:val="Titre3"/>
        <w:numPr>
          <w:ilvl w:val="0"/>
          <w:numId w:val="14"/>
        </w:numPr>
        <w:rPr>
          <w:b w:val="0"/>
        </w:rPr>
      </w:pPr>
      <w:bookmarkStart w:id="18" w:name="_Toc360458885"/>
      <w:r w:rsidRPr="00EB1EDC">
        <w:t>Le réseau et ses besoins de désherbage</w:t>
      </w:r>
      <w:bookmarkEnd w:id="18"/>
    </w:p>
    <w:p w14:paraId="28F822EE" w14:textId="5260DBD4" w:rsidR="00AA141B" w:rsidRPr="0090070D" w:rsidRDefault="00AA141B" w:rsidP="0090070D">
      <w:pPr>
        <w:pStyle w:val="Titre4"/>
        <w:numPr>
          <w:ilvl w:val="0"/>
          <w:numId w:val="21"/>
        </w:numPr>
        <w:rPr>
          <w:rFonts w:ascii="Corbel" w:hAnsi="Corbel"/>
        </w:rPr>
      </w:pPr>
      <w:bookmarkStart w:id="19" w:name="_Toc360458886"/>
      <w:r w:rsidRPr="0090070D">
        <w:rPr>
          <w:rFonts w:ascii="Corbel" w:hAnsi="Corbel"/>
        </w:rPr>
        <w:t>Des besoins énormes</w:t>
      </w:r>
      <w:bookmarkEnd w:id="19"/>
    </w:p>
    <w:p w14:paraId="1353232B" w14:textId="77777777" w:rsidR="00EB1EDC" w:rsidRDefault="00EB1EDC" w:rsidP="00416740">
      <w:r>
        <w:t>La SNCF s’occupe de 61 000 km de voies environ dont 50 000 sont utilisées pour le transport, le reste étant principalement des voies de stockage ou de manœuvre. Chaque voie est entourée d’abords de végétations à contrôler, ce qui entraine 95 000 hectares à entretenir.</w:t>
      </w:r>
    </w:p>
    <w:p w14:paraId="7778E8FB" w14:textId="77777777" w:rsidR="00EB1EDC" w:rsidRDefault="00EB1EDC" w:rsidP="00416740">
      <w:r>
        <w:t>La politique de la SNCF en termes de végétation se traduit comme suit :</w:t>
      </w:r>
    </w:p>
    <w:p w14:paraId="748EE682" w14:textId="77777777" w:rsidR="00EB1EDC" w:rsidRDefault="00EB1EDC" w:rsidP="00416740">
      <w:pPr>
        <w:pStyle w:val="Paragraphedeliste"/>
        <w:numPr>
          <w:ilvl w:val="0"/>
          <w:numId w:val="26"/>
        </w:numPr>
      </w:pPr>
      <w:r>
        <w:t>Sur la voie et la bande de proximité (de chaque côté de la voie, pour intervenir ou pour faire circuler les voyageurs) : « zéro végétation », traitement total de la végétation pour des questions de sécurité, avec des produits à base de glyphosate</w:t>
      </w:r>
    </w:p>
    <w:p w14:paraId="292DF6D9" w14:textId="77777777" w:rsidR="00EB1EDC" w:rsidRDefault="00EB1EDC" w:rsidP="00416740">
      <w:pPr>
        <w:pStyle w:val="Paragraphedeliste"/>
        <w:numPr>
          <w:ilvl w:val="0"/>
          <w:numId w:val="26"/>
        </w:numPr>
      </w:pPr>
      <w:r>
        <w:t>Sur les abords, il s’agit de maitriser la végétation, notamment les « arbres à risques », dans cette partie sont utilisées des solutions mécaniques ou manuelles mais pas de produits phytosanitaires.</w:t>
      </w:r>
    </w:p>
    <w:p w14:paraId="02CE753B" w14:textId="77777777" w:rsidR="00EB1EDC" w:rsidRPr="0024624D" w:rsidRDefault="00EB1EDC" w:rsidP="00416740">
      <w:pPr>
        <w:rPr>
          <w:b/>
        </w:rPr>
      </w:pPr>
      <w:r w:rsidRPr="0024624D">
        <w:rPr>
          <w:b/>
        </w:rPr>
        <w:t>La lutte contre la végétation est nécessaire pour 3 principales raisons :</w:t>
      </w:r>
    </w:p>
    <w:p w14:paraId="4574125A" w14:textId="64CD8273" w:rsidR="00EB1EDC" w:rsidRPr="00BD0151" w:rsidRDefault="0024624D" w:rsidP="00416740">
      <w:pPr>
        <w:pStyle w:val="Paragraphedeliste"/>
        <w:numPr>
          <w:ilvl w:val="0"/>
          <w:numId w:val="28"/>
        </w:numPr>
      </w:pPr>
      <w:r>
        <w:t>S</w:t>
      </w:r>
      <w:r w:rsidR="00EB1EDC">
        <w:t>écurité ferroviaire : le déraillement des trains.</w:t>
      </w:r>
      <w:r w:rsidR="00EB1EDC" w:rsidRPr="00BD0151">
        <w:t xml:space="preserve"> </w:t>
      </w:r>
      <w:r w:rsidR="00EB1EDC">
        <w:t>L</w:t>
      </w:r>
      <w:r w:rsidR="00EB1EDC" w:rsidRPr="00BD0151">
        <w:t>a végétation</w:t>
      </w:r>
      <w:r w:rsidR="00EB1EDC">
        <w:t xml:space="preserve"> peut</w:t>
      </w:r>
      <w:r w:rsidR="00EB1EDC" w:rsidRPr="00BD0151">
        <w:t xml:space="preserve"> ret</w:t>
      </w:r>
      <w:r w:rsidR="00EB1EDC">
        <w:t>enir</w:t>
      </w:r>
      <w:r w:rsidR="00EB1EDC" w:rsidRPr="00BD0151">
        <w:t xml:space="preserve"> l’eau et peut déformer la plateforme, les rails s’entretiennent au millimètre près</w:t>
      </w:r>
      <w:r w:rsidR="00EB1EDC">
        <w:t>. Avec</w:t>
      </w:r>
      <w:r w:rsidR="00EB1EDC" w:rsidRPr="00BD0151">
        <w:t xml:space="preserve"> </w:t>
      </w:r>
      <w:r w:rsidR="00EB1EDC">
        <w:t>17 tonnes qui circulent à 300 km/h, la moindre modification du sol peut être fatale.</w:t>
      </w:r>
    </w:p>
    <w:p w14:paraId="10F0F033" w14:textId="7FA5F141" w:rsidR="00EB1EDC" w:rsidRPr="00BD0151" w:rsidRDefault="0024624D" w:rsidP="00416740">
      <w:pPr>
        <w:pStyle w:val="Paragraphedeliste"/>
        <w:numPr>
          <w:ilvl w:val="0"/>
          <w:numId w:val="28"/>
        </w:numPr>
      </w:pPr>
      <w:r>
        <w:t>S</w:t>
      </w:r>
      <w:r w:rsidR="00EB1EDC" w:rsidRPr="00BD0151">
        <w:t>écurité p</w:t>
      </w:r>
      <w:r w:rsidR="00EB1EDC">
        <w:t>our les agents : lors de travaux</w:t>
      </w:r>
      <w:r w:rsidR="00EB1EDC" w:rsidRPr="00BD0151">
        <w:t xml:space="preserve"> nécessaire</w:t>
      </w:r>
      <w:r w:rsidR="00EB1EDC">
        <w:t>s</w:t>
      </w:r>
      <w:r w:rsidR="00EB1EDC" w:rsidRPr="00BD0151">
        <w:t xml:space="preserve"> sur la voie, il faut que les agents puissent évacuer très rapidement la zone dangereuse, en allant sur la piste donc dégagée de végétation. Les travaux se font donc régulièrement de nuit, pour éviter l’arrêt de la circulation des trains.</w:t>
      </w:r>
    </w:p>
    <w:p w14:paraId="0A0B93F2" w14:textId="77777777" w:rsidR="0019245B" w:rsidRDefault="0024624D">
      <w:pPr>
        <w:pStyle w:val="Paragraphedeliste"/>
        <w:numPr>
          <w:ilvl w:val="0"/>
          <w:numId w:val="28"/>
        </w:numPr>
      </w:pPr>
      <w:r>
        <w:t>S</w:t>
      </w:r>
      <w:r w:rsidR="00EB1EDC" w:rsidRPr="00BD0151">
        <w:t>écurité pour les conducteurs</w:t>
      </w:r>
      <w:r w:rsidR="00EB1EDC">
        <w:t xml:space="preserve"> et passagers</w:t>
      </w:r>
      <w:r w:rsidR="00EB1EDC" w:rsidRPr="00BD0151">
        <w:t xml:space="preserve"> : le conducteur nécessite une piste dégagée en cas d’arrêt du train ou de problèmes de sécurité. Si </w:t>
      </w:r>
      <w:r w:rsidR="00EB1EDC">
        <w:t xml:space="preserve">le </w:t>
      </w:r>
      <w:r w:rsidR="00EB1EDC" w:rsidRPr="00BD0151">
        <w:t xml:space="preserve">train </w:t>
      </w:r>
      <w:r w:rsidR="007077AA">
        <w:t xml:space="preserve">est </w:t>
      </w:r>
      <w:r w:rsidR="00EB1EDC" w:rsidRPr="00BD0151">
        <w:t>en panne,</w:t>
      </w:r>
      <w:r w:rsidR="00EB1EDC">
        <w:t xml:space="preserve"> il est nécessaire de faire circuler</w:t>
      </w:r>
      <w:r w:rsidR="00EB1EDC" w:rsidRPr="00BD0151">
        <w:t xml:space="preserve"> les voyageurs </w:t>
      </w:r>
      <w:r w:rsidR="00EB1EDC">
        <w:t>rapidement</w:t>
      </w:r>
      <w:r w:rsidR="00EB1EDC" w:rsidRPr="00BD0151">
        <w:t xml:space="preserve"> le long de la voie</w:t>
      </w:r>
      <w:r w:rsidR="00EB1EDC">
        <w:t>.</w:t>
      </w:r>
    </w:p>
    <w:p w14:paraId="046E4966" w14:textId="2F6D10F6" w:rsidR="0019245B" w:rsidRDefault="0019245B" w:rsidP="00A07706">
      <w:r>
        <w:t>Ajoutons que dans certaines régions où sévissent des maladies des végétaux comme la sharka</w:t>
      </w:r>
      <w:r w:rsidR="00A07706">
        <w:rPr>
          <w:rStyle w:val="Appelnotedebasdep"/>
        </w:rPr>
        <w:footnoteReference w:id="9"/>
      </w:r>
      <w:r>
        <w:t>,</w:t>
      </w:r>
      <w:r w:rsidR="00A07706">
        <w:t xml:space="preserve"> </w:t>
      </w:r>
      <w:r>
        <w:t>le fait de laisser une végétation incontrôlée accro</w:t>
      </w:r>
      <w:r w:rsidR="00A07706">
        <w:t>î</w:t>
      </w:r>
      <w:r>
        <w:t>t le risque de la dispersion du virus sur les vergers cultivés.</w:t>
      </w:r>
    </w:p>
    <w:p w14:paraId="46F61D16" w14:textId="745A6AB8" w:rsidR="00EB1EDC" w:rsidRPr="007077AA" w:rsidRDefault="00EB1EDC" w:rsidP="00416740">
      <w:pPr>
        <w:rPr>
          <w:b/>
        </w:rPr>
      </w:pPr>
      <w:r w:rsidRPr="007077AA">
        <w:rPr>
          <w:b/>
        </w:rPr>
        <w:t>La voie et la bande de sécurité doivent donc être totalement désherbées</w:t>
      </w:r>
    </w:p>
    <w:p w14:paraId="43ACFD00" w14:textId="12F054F6" w:rsidR="00EB1EDC" w:rsidRPr="00EB1EDC" w:rsidRDefault="00AA141B" w:rsidP="00AA141B">
      <w:pPr>
        <w:pStyle w:val="Titre4"/>
      </w:pPr>
      <w:bookmarkStart w:id="20" w:name="_Toc360458887"/>
      <w:r>
        <w:t>L’absence</w:t>
      </w:r>
      <w:r w:rsidR="004631F7">
        <w:t xml:space="preserve"> </w:t>
      </w:r>
      <w:r>
        <w:t xml:space="preserve">de </w:t>
      </w:r>
      <w:r w:rsidR="004631F7">
        <w:t>méthodes alternatives</w:t>
      </w:r>
      <w:bookmarkEnd w:id="20"/>
    </w:p>
    <w:p w14:paraId="5E72C828" w14:textId="2C1FD8A9" w:rsidR="00EB1EDC" w:rsidRDefault="00EB1EDC" w:rsidP="00416740">
      <w:r>
        <w:t>L’utilisation du glyphosate dans le cadre du désher</w:t>
      </w:r>
      <w:r w:rsidR="00371E25">
        <w:t xml:space="preserve">bage chimique se fait tous les </w:t>
      </w:r>
      <w:r>
        <w:t xml:space="preserve"> ans, sans le glyphosate il faudrait alors envisager un fauchage mécanique qui serait alors annuel. De même, un train de désherbage circule environ à 50 ou 60 km/h, un fauchage mécanique se ferait à allure d’homme, soit 6 km/h.</w:t>
      </w:r>
    </w:p>
    <w:p w14:paraId="5A67E2DE" w14:textId="77777777" w:rsidR="0019245B" w:rsidRDefault="00EB1EDC" w:rsidP="00416740">
      <w:r>
        <w:t xml:space="preserve">Cette augmentation de la fréquence d’entretien des voies poserait également un problème pour la bonne circulation des trains. Actuellement, un plan d’épandage est </w:t>
      </w:r>
    </w:p>
    <w:p w14:paraId="6B467008" w14:textId="77777777" w:rsidR="0019245B" w:rsidRDefault="0019245B" w:rsidP="00416740"/>
    <w:p w14:paraId="74759A98" w14:textId="5E77345D" w:rsidR="00EB1EDC" w:rsidRDefault="00EB1EDC" w:rsidP="00416740">
      <w:r>
        <w:t>prévu un an à l’avance afin de ne pas gêner la circulation des trains commerciaux, pour les lignes à grande vitesse, le traitement se fait de nuit.</w:t>
      </w:r>
    </w:p>
    <w:p w14:paraId="5EB8A0EB" w14:textId="77777777" w:rsidR="00EB1EDC" w:rsidRDefault="00EB1EDC" w:rsidP="00416740">
      <w:r w:rsidRPr="00BD0151">
        <w:t>Il serait envisageable de faire circuler ces trains de diffusion sur les « planches travaux » mais pendant ce temps, aucun travaux ne serait fait</w:t>
      </w:r>
      <w:r>
        <w:t>, ce n’est donc toujours pas une solution viable.</w:t>
      </w:r>
    </w:p>
    <w:p w14:paraId="6C024032" w14:textId="77777777" w:rsidR="00EB1EDC" w:rsidRDefault="00EB1EDC" w:rsidP="00416740">
      <w:r>
        <w:t>La SNCF Réseau a déjà étudié différentes possibilités de solutions alternatives :</w:t>
      </w:r>
    </w:p>
    <w:p w14:paraId="2D659C6D" w14:textId="77777777" w:rsidR="00EB1EDC" w:rsidRDefault="00EB1EDC" w:rsidP="0005322B">
      <w:pPr>
        <w:pStyle w:val="Paragraphedeliste"/>
        <w:numPr>
          <w:ilvl w:val="0"/>
          <w:numId w:val="29"/>
        </w:numPr>
        <w:ind w:left="1003" w:hanging="357"/>
        <w:contextualSpacing w:val="0"/>
      </w:pPr>
      <w:r>
        <w:t>La méthode thermique, qui consiste à bruler la végétation sur les zones de traitement, a une vitesse de 1 km/h avec les problèmes que l’on a vu ci-dessus. De même, cette méthode utilise beaucoup de gasoil et énormément d’eau, elle a donc d’autres inconvénients en termes environnemental.</w:t>
      </w:r>
    </w:p>
    <w:p w14:paraId="2E2EC88E" w14:textId="77777777" w:rsidR="00EB1EDC" w:rsidRDefault="00EB1EDC" w:rsidP="0005322B">
      <w:pPr>
        <w:pStyle w:val="Paragraphedeliste"/>
        <w:numPr>
          <w:ilvl w:val="0"/>
          <w:numId w:val="29"/>
        </w:numPr>
        <w:ind w:left="1003" w:hanging="357"/>
        <w:contextualSpacing w:val="0"/>
      </w:pPr>
      <w:r>
        <w:t>La méthode mécanique, qui consiste à faucher et à arracher la moindre végétation est une méthode très lente également. Elle ne peut pas s’appliquer sur les voies en raison de la grande fréquence de circulation des trains.</w:t>
      </w:r>
    </w:p>
    <w:p w14:paraId="53D0C9F3" w14:textId="77777777" w:rsidR="00EB1EDC" w:rsidRDefault="00EB1EDC" w:rsidP="0005322B">
      <w:pPr>
        <w:pStyle w:val="Paragraphedeliste"/>
        <w:numPr>
          <w:ilvl w:val="0"/>
          <w:numId w:val="29"/>
        </w:numPr>
        <w:ind w:left="1003" w:hanging="357"/>
        <w:contextualSpacing w:val="0"/>
      </w:pPr>
      <w:r>
        <w:t>Enfin, la méthode manuelle, pour les mêmes raisons précédentes n’est pas applicable.</w:t>
      </w:r>
    </w:p>
    <w:p w14:paraId="0BE04B5E" w14:textId="77777777" w:rsidR="00EB1EDC" w:rsidRPr="00416740" w:rsidRDefault="00EB1EDC" w:rsidP="00416740">
      <w:pPr>
        <w:rPr>
          <w:b/>
        </w:rPr>
      </w:pPr>
      <w:r w:rsidRPr="00BD0151">
        <w:t>Toute solution autre que le glyphosate qui nécessi</w:t>
      </w:r>
      <w:r>
        <w:t>terait une vitesse plus faible et/</w:t>
      </w:r>
      <w:r w:rsidRPr="00BD0151">
        <w:t>ou</w:t>
      </w:r>
      <w:r>
        <w:t xml:space="preserve"> qui</w:t>
      </w:r>
      <w:r w:rsidRPr="00BD0151">
        <w:t xml:space="preserve"> nécessiterait plusieurs passages par an, </w:t>
      </w:r>
      <w:r w:rsidRPr="00416740">
        <w:rPr>
          <w:b/>
        </w:rPr>
        <w:t>entrainerait un coût très élevé et une faisabilité très difficile voire impossible.</w:t>
      </w:r>
    </w:p>
    <w:p w14:paraId="4E8B8426" w14:textId="4BBD0E9A" w:rsidR="00EB1EDC" w:rsidRPr="00BD0151" w:rsidRDefault="00EB1EDC" w:rsidP="00416740">
      <w:r w:rsidRPr="00BD0151">
        <w:t xml:space="preserve">L’interdiction du glyphosate est au </w:t>
      </w:r>
      <w:r>
        <w:t>cœur d’un processus industriel. La</w:t>
      </w:r>
      <w:r w:rsidRPr="00BD0151">
        <w:t xml:space="preserve"> </w:t>
      </w:r>
      <w:r>
        <w:t xml:space="preserve">très grande taille du réseau ainsi que la particularité </w:t>
      </w:r>
      <w:r w:rsidRPr="00BD0151">
        <w:t>du territoire</w:t>
      </w:r>
      <w:r>
        <w:t xml:space="preserve">, nécessitent des solutions d’ordre industriel et non ponctuel. </w:t>
      </w:r>
      <w:r w:rsidRPr="00BD0151">
        <w:t>Les voi</w:t>
      </w:r>
      <w:r>
        <w:t>e</w:t>
      </w:r>
      <w:r w:rsidRPr="00BD0151">
        <w:t>s sont jonchées d’obstacles (poteaux, ponts) </w:t>
      </w:r>
      <w:r>
        <w:t xml:space="preserve">ce qui entraine de grandes </w:t>
      </w:r>
      <w:r w:rsidRPr="00BD0151">
        <w:t>difficulté</w:t>
      </w:r>
      <w:r>
        <w:t>s</w:t>
      </w:r>
      <w:r w:rsidRPr="00BD0151">
        <w:t xml:space="preserve"> pour industrialiser le</w:t>
      </w:r>
      <w:r>
        <w:t>s</w:t>
      </w:r>
      <w:r w:rsidRPr="00BD0151">
        <w:t xml:space="preserve"> processus</w:t>
      </w:r>
      <w:r>
        <w:t>.</w:t>
      </w:r>
    </w:p>
    <w:p w14:paraId="59597F45" w14:textId="7DC24E23" w:rsidR="00EB1EDC" w:rsidRDefault="00EB1EDC" w:rsidP="00EB1EDC">
      <w:pPr>
        <w:pStyle w:val="Titre3"/>
        <w:rPr>
          <w:b w:val="0"/>
        </w:rPr>
      </w:pPr>
      <w:bookmarkStart w:id="21" w:name="_Toc360458888"/>
      <w:r>
        <w:t xml:space="preserve">Le coût économique et </w:t>
      </w:r>
      <w:r w:rsidR="00840F4E">
        <w:t>organisationnel d’une interdiction immédiate du glyphosate</w:t>
      </w:r>
      <w:bookmarkEnd w:id="21"/>
    </w:p>
    <w:p w14:paraId="59744F42" w14:textId="44D77D4A" w:rsidR="00EB1EDC" w:rsidRPr="00F0217A" w:rsidRDefault="00EB1EDC" w:rsidP="00416740">
      <w:r w:rsidRPr="00472517">
        <w:rPr>
          <w:b/>
        </w:rPr>
        <w:t>Aujourd’hui, la politique de zéro végétation sur pistes et voies constitue une dépense de 30 millions d’euros par an</w:t>
      </w:r>
      <w:r w:rsidRPr="00BD0151">
        <w:t xml:space="preserve">. </w:t>
      </w:r>
      <w:r>
        <w:t>Elle prend en compte le t</w:t>
      </w:r>
      <w:r w:rsidRPr="00BD0151">
        <w:t xml:space="preserve">raitement chimique </w:t>
      </w:r>
      <w:r>
        <w:t xml:space="preserve">ainsi que le </w:t>
      </w:r>
      <w:r w:rsidRPr="00BD0151">
        <w:t xml:space="preserve">traitement mécanique sur les zones </w:t>
      </w:r>
      <w:r w:rsidR="00416740">
        <w:t>sensibles. Pour la maî</w:t>
      </w:r>
      <w:r>
        <w:t>trise globale de la végétation, les dépenses atteignent 100 millions d’euros par an. Le budget de maintenance courante de l’infrastructure est de 2 milliards d’euros par an.</w:t>
      </w:r>
    </w:p>
    <w:p w14:paraId="5E1184F8" w14:textId="77777777" w:rsidR="00EB1EDC" w:rsidRDefault="00EB1EDC" w:rsidP="00416740">
      <w:pPr>
        <w:rPr>
          <w:b/>
        </w:rPr>
      </w:pPr>
      <w:r w:rsidRPr="00472517">
        <w:rPr>
          <w:b/>
        </w:rPr>
        <w:t>Dans le cas de l’interdiction du glyphosate, une étude externe a démontré que le coût de traitement pourrait être 16 à 17 fois plus élevé, pour atteindre 470 à 500 millions d’euros par an !</w:t>
      </w:r>
    </w:p>
    <w:p w14:paraId="19008A77" w14:textId="4E7F47B7" w:rsidR="00B7660D" w:rsidRPr="00416740" w:rsidRDefault="00EB1EDC" w:rsidP="00416740">
      <w:r>
        <w:t>L’interdiction du glyphosate pourrait avoir des conséquences sur la circulation des trains dans notre pays : la fin de l’exploitation de certaines voies, ou certains tronçons pour des raisons de sécurité ; ou encore une circulation ralentie et beaucoup moins fréquente.</w:t>
      </w:r>
    </w:p>
    <w:p w14:paraId="7BB0F821" w14:textId="77777777" w:rsidR="00EB1EDC" w:rsidRPr="006834F5" w:rsidRDefault="00EB1EDC" w:rsidP="00EB1EDC">
      <w:pPr>
        <w:pStyle w:val="Titre3"/>
        <w:rPr>
          <w:b w:val="0"/>
        </w:rPr>
      </w:pPr>
      <w:bookmarkStart w:id="22" w:name="_Toc360458889"/>
      <w:r>
        <w:t>Un engagement prononcé de la SNCF en faveur de l’optimisation de l’utilisation du glyphosate</w:t>
      </w:r>
      <w:bookmarkEnd w:id="22"/>
    </w:p>
    <w:p w14:paraId="4F2C0971" w14:textId="77777777" w:rsidR="00EB1EDC" w:rsidRDefault="00EB1EDC" w:rsidP="00416740">
      <w:r>
        <w:t xml:space="preserve">La SNCF Réseau s’engage déjà depuis longtemps pour réduire son utilisation de phytosanitaires dans sa lutte contre la végétation. Entre </w:t>
      </w:r>
      <w:r w:rsidRPr="00BD0151">
        <w:t>1996</w:t>
      </w:r>
      <w:r>
        <w:t xml:space="preserve"> et </w:t>
      </w:r>
      <w:r w:rsidRPr="00BD0151">
        <w:t xml:space="preserve">2016 : </w:t>
      </w:r>
      <w:r>
        <w:t xml:space="preserve">la consommation de phytosanitaires a été divisée </w:t>
      </w:r>
      <w:r w:rsidRPr="00BD0151">
        <w:t>par 3</w:t>
      </w:r>
      <w:r>
        <w:t>.</w:t>
      </w:r>
    </w:p>
    <w:p w14:paraId="67730CD7" w14:textId="77777777" w:rsidR="00EB1EDC" w:rsidRDefault="00EB1EDC" w:rsidP="00416740">
      <w:r>
        <w:t>L</w:t>
      </w:r>
      <w:r w:rsidRPr="00BD0151">
        <w:t xml:space="preserve">a consommation de glyphosate </w:t>
      </w:r>
      <w:r>
        <w:t xml:space="preserve">de la SNCF Réseau </w:t>
      </w:r>
      <w:r w:rsidRPr="00BD0151">
        <w:t>représente 0,4-0,</w:t>
      </w:r>
      <w:r>
        <w:t xml:space="preserve">5% de la consommation française, ce qui en fait le premier consommateur en France. </w:t>
      </w:r>
    </w:p>
    <w:p w14:paraId="43C07750" w14:textId="77777777" w:rsidR="00EB1EDC" w:rsidRDefault="00EB1EDC" w:rsidP="00416740">
      <w:r>
        <w:t xml:space="preserve">L’utilisation de phytosanitaires pour dégager les voies est un processus qui est </w:t>
      </w:r>
      <w:r w:rsidRPr="00BD0151">
        <w:t>partagé par tous les pays d’Europe (Allemagne, Belgique, Suisse).</w:t>
      </w:r>
    </w:p>
    <w:p w14:paraId="33063E37" w14:textId="2ADF458D" w:rsidR="00EB1EDC" w:rsidRDefault="00EB1EDC" w:rsidP="00416740">
      <w:r>
        <w:t xml:space="preserve">Afin de limiter les effets néfastes du glyphosate sur l’environnement, l’entreprise prend déjà des précautions importantes. Afin de lutter contre la problématique du glyphosate dans l’eau, l’entreprise utilise un système de traçabilité ainsi que des GPS afin d’éviter les zones de contact et les zones déjà traitées. </w:t>
      </w:r>
      <w:r w:rsidRPr="00BD0151">
        <w:t xml:space="preserve">L’utilisation de </w:t>
      </w:r>
      <w:r>
        <w:t>glyphosate</w:t>
      </w:r>
      <w:r w:rsidRPr="00BD0151">
        <w:t xml:space="preserve"> se fait </w:t>
      </w:r>
      <w:r>
        <w:t>uniquement sur</w:t>
      </w:r>
      <w:r w:rsidRPr="00BD0151">
        <w:t xml:space="preserve"> des parcelles qui n’ont pas d’activité, uniquement sur des parcelles ferroviaires. </w:t>
      </w:r>
      <w:r>
        <w:t>Il n’y a donc p</w:t>
      </w:r>
      <w:r w:rsidRPr="00BD0151">
        <w:t>as de contact avec les produits agricoles.</w:t>
      </w:r>
    </w:p>
    <w:p w14:paraId="19417334" w14:textId="1CA6873F" w:rsidR="00EB1EDC" w:rsidRPr="00F91BDC" w:rsidRDefault="004631F7" w:rsidP="00EB1EDC">
      <w:pPr>
        <w:pStyle w:val="Titre3"/>
        <w:rPr>
          <w:rFonts w:ascii="Corbel" w:hAnsi="Corbel"/>
        </w:rPr>
      </w:pPr>
      <w:bookmarkStart w:id="23" w:name="_Toc360458890"/>
      <w:r w:rsidRPr="00F91BDC">
        <w:rPr>
          <w:rFonts w:ascii="Corbel" w:hAnsi="Corbel"/>
        </w:rPr>
        <w:t>Se passer du glyphosate : une pe</w:t>
      </w:r>
      <w:r w:rsidR="00561825" w:rsidRPr="00F91BDC">
        <w:rPr>
          <w:rFonts w:ascii="Corbel" w:hAnsi="Corbel"/>
        </w:rPr>
        <w:t>rspective</w:t>
      </w:r>
      <w:r w:rsidRPr="00F91BDC">
        <w:rPr>
          <w:rFonts w:ascii="Corbel" w:hAnsi="Corbel"/>
        </w:rPr>
        <w:t xml:space="preserve"> réelle mais seulement à moyen terme pour la SNCF</w:t>
      </w:r>
      <w:bookmarkEnd w:id="23"/>
      <w:r w:rsidR="00561825" w:rsidRPr="00F91BDC">
        <w:rPr>
          <w:rFonts w:ascii="Corbel" w:hAnsi="Corbel"/>
        </w:rPr>
        <w:t xml:space="preserve"> </w:t>
      </w:r>
    </w:p>
    <w:p w14:paraId="7EED58D8" w14:textId="77777777" w:rsidR="00EB1EDC" w:rsidRDefault="00EB1EDC" w:rsidP="00416740">
      <w:r>
        <w:t>L’entreprise a développé une solution préventive à la pousse de la végétation. Il s’agit de poser du géotextile sur les voies pendant les chantiers de régénération des voies, ce tissu permet l’évacuation de l’eau et évite la pousse de la végétation.</w:t>
      </w:r>
    </w:p>
    <w:p w14:paraId="72765731" w14:textId="77777777" w:rsidR="00EB1EDC" w:rsidRDefault="00EB1EDC" w:rsidP="00416740">
      <w:r>
        <w:t>Cependant, ce processus n’est pour l’instant applicable qu’aux lignes à grande vitesse, qui ne représentent que 4% des km de voies. Une fois encore, il est nécessaire d’avoir plus de temps pour industrialiser le processus à l’ensemble des voies.</w:t>
      </w:r>
    </w:p>
    <w:p w14:paraId="1D023AF9" w14:textId="77777777" w:rsidR="00EB1EDC" w:rsidRDefault="00EB1EDC" w:rsidP="00416740">
      <w:r>
        <w:t>La SNCF Réseau a également lancé le projet « marathon de l’innovation ». Il s’agit de faire travailler ensemble des techniciens, des étudiants, des ingénieurs extérieurs à l’entreprise afin de trouver des solutions alternatives aux glyphosate pour faire de la prévention ou de la lutte contre la végétation.</w:t>
      </w:r>
    </w:p>
    <w:p w14:paraId="799D3207" w14:textId="77777777" w:rsidR="00EB1EDC" w:rsidRPr="00BD0151" w:rsidRDefault="00EB1EDC" w:rsidP="00416740">
      <w:r>
        <w:t>Ce projet est en train d’aboutir à différentes solutions : des start-ups qui créent des robots pour des solutions mécaniques, ou encore de la surveillance pour réduire la quantité traitée, etc.</w:t>
      </w:r>
    </w:p>
    <w:p w14:paraId="5CD25599" w14:textId="77777777" w:rsidR="00EB1EDC" w:rsidRDefault="00EB1EDC" w:rsidP="00416740">
      <w:r>
        <w:t>Une autre solution en cours d’étude, serait de remettre en cause le principe de « zéro végétation ». Par exemple laisser une végétation de 10 cm autour de la voie, ou encore laisser plus de végétation sur les voies de stockage. Mais cela nécessite beaucoup d’analyse quant aux risques potentiels pour la sécurité.</w:t>
      </w:r>
    </w:p>
    <w:p w14:paraId="0C2ABD2E" w14:textId="77777777" w:rsidR="00EB1EDC" w:rsidRDefault="00EB1EDC" w:rsidP="00416740">
      <w:r>
        <w:t>De même, des études sont réalisées conjointement avec d’autres pays européens, comme la Belgique et l’Allemagne pour trouver des solutions alternatives au glyphosate.</w:t>
      </w:r>
    </w:p>
    <w:p w14:paraId="592DADE0" w14:textId="04CBD039" w:rsidR="00EB1EDC" w:rsidRPr="00416740" w:rsidRDefault="00416740" w:rsidP="00416740">
      <w:pPr>
        <w:rPr>
          <w:b/>
        </w:rPr>
      </w:pPr>
      <w:r w:rsidRPr="00416740">
        <w:rPr>
          <w:b/>
        </w:rPr>
        <w:t>En synthèse</w:t>
      </w:r>
      <w:r w:rsidR="00EB1EDC" w:rsidRPr="00416740">
        <w:rPr>
          <w:b/>
        </w:rPr>
        <w:t>, la SNCF Réseau estime avoir besoin d’encore 5 années supplémentaires pour industrialiser et mettre en place les solutions en cours d’étude.</w:t>
      </w:r>
    </w:p>
    <w:p w14:paraId="48744C28" w14:textId="77777777" w:rsidR="00EB1EDC" w:rsidRPr="00BD0151" w:rsidRDefault="00EB1EDC" w:rsidP="00416740">
      <w:r>
        <w:t>Il y a une i</w:t>
      </w:r>
      <w:r w:rsidRPr="00BD0151">
        <w:t>ncohérence entre la législation et</w:t>
      </w:r>
      <w:r>
        <w:t xml:space="preserve"> l’entreprise publique : l’interdiction du glyphosate au 1</w:t>
      </w:r>
      <w:r w:rsidRPr="009B79C2">
        <w:rPr>
          <w:vertAlign w:val="superscript"/>
        </w:rPr>
        <w:t>er</w:t>
      </w:r>
      <w:r>
        <w:t xml:space="preserve"> janvier 2018</w:t>
      </w:r>
      <w:r w:rsidRPr="00BD0151">
        <w:t xml:space="preserve"> coûterait fortement à la collectivité</w:t>
      </w:r>
      <w:r>
        <w:t>.</w:t>
      </w:r>
    </w:p>
    <w:p w14:paraId="550CFA6E" w14:textId="77777777" w:rsidR="00EB1EDC" w:rsidRDefault="00EB1EDC" w:rsidP="00EB1EDC"/>
    <w:p w14:paraId="1472F75C" w14:textId="64C351A3" w:rsidR="00A402AF" w:rsidRDefault="00021F0D" w:rsidP="0011699B">
      <w:pPr>
        <w:pStyle w:val="Titre1"/>
        <w:numPr>
          <w:ilvl w:val="0"/>
          <w:numId w:val="0"/>
        </w:numPr>
        <w:ind w:left="720"/>
      </w:pPr>
      <w:bookmarkStart w:id="24" w:name="_Toc360458891"/>
      <w:r>
        <w:t>Trois r</w:t>
      </w:r>
      <w:r w:rsidR="007471B2">
        <w:t>ecommandations</w:t>
      </w:r>
      <w:r>
        <w:t xml:space="preserve"> pour un débat apaisé et une action politique éclairée</w:t>
      </w:r>
      <w:bookmarkEnd w:id="24"/>
    </w:p>
    <w:p w14:paraId="35DE7E6D" w14:textId="527BF834" w:rsidR="008D4123" w:rsidRDefault="00021F0D" w:rsidP="00BE21FA">
      <w:pPr>
        <w:rPr>
          <w:rFonts w:ascii="Corbel" w:hAnsi="Corbel"/>
        </w:rPr>
      </w:pPr>
      <w:r>
        <w:rPr>
          <w:rFonts w:ascii="Corbel" w:hAnsi="Corbel"/>
        </w:rPr>
        <w:t>D</w:t>
      </w:r>
      <w:r w:rsidRPr="00EE5AD4">
        <w:rPr>
          <w:rFonts w:ascii="Corbel" w:hAnsi="Corbel"/>
        </w:rPr>
        <w:t xml:space="preserve">es pans entiers de l’économie risquent de s’effondrer </w:t>
      </w:r>
      <w:r>
        <w:rPr>
          <w:rFonts w:ascii="Corbel" w:hAnsi="Corbel"/>
        </w:rPr>
        <w:t>si</w:t>
      </w:r>
      <w:r w:rsidR="00A402AF" w:rsidRPr="00EE5AD4">
        <w:rPr>
          <w:rFonts w:ascii="Corbel" w:hAnsi="Corbel"/>
        </w:rPr>
        <w:t xml:space="preserve"> le glyphosate </w:t>
      </w:r>
      <w:r>
        <w:rPr>
          <w:rFonts w:ascii="Corbel" w:hAnsi="Corbel"/>
        </w:rPr>
        <w:t>est interdit de façon brutale et immédiate</w:t>
      </w:r>
      <w:r w:rsidR="00A402AF" w:rsidRPr="00EE5AD4">
        <w:rPr>
          <w:rFonts w:ascii="Corbel" w:hAnsi="Corbel"/>
        </w:rPr>
        <w:t>.</w:t>
      </w:r>
      <w:r w:rsidR="00A402AF">
        <w:rPr>
          <w:rFonts w:ascii="Corbel" w:hAnsi="Corbel"/>
        </w:rPr>
        <w:t xml:space="preserve"> Il faut </w:t>
      </w:r>
      <w:r>
        <w:rPr>
          <w:rFonts w:ascii="Corbel" w:hAnsi="Corbel"/>
        </w:rPr>
        <w:t xml:space="preserve">certes </w:t>
      </w:r>
      <w:r w:rsidR="00A402AF">
        <w:rPr>
          <w:rFonts w:ascii="Corbel" w:hAnsi="Corbel"/>
        </w:rPr>
        <w:t xml:space="preserve">dès maintenant </w:t>
      </w:r>
      <w:r>
        <w:rPr>
          <w:rFonts w:ascii="Corbel" w:hAnsi="Corbel"/>
        </w:rPr>
        <w:t>chercher</w:t>
      </w:r>
      <w:r w:rsidR="00A402AF">
        <w:rPr>
          <w:rFonts w:ascii="Corbel" w:hAnsi="Corbel"/>
        </w:rPr>
        <w:t xml:space="preserve"> des solutions alternatives</w:t>
      </w:r>
      <w:r>
        <w:rPr>
          <w:rFonts w:ascii="Corbel" w:hAnsi="Corbel"/>
        </w:rPr>
        <w:t xml:space="preserve"> et faire évoluer le</w:t>
      </w:r>
      <w:r w:rsidR="00A402AF" w:rsidRPr="00EE5AD4">
        <w:rPr>
          <w:rFonts w:ascii="Corbel" w:hAnsi="Corbel"/>
        </w:rPr>
        <w:t>s pratiques</w:t>
      </w:r>
      <w:r>
        <w:rPr>
          <w:rFonts w:ascii="Corbel" w:hAnsi="Corbel"/>
        </w:rPr>
        <w:t xml:space="preserve"> </w:t>
      </w:r>
      <w:r w:rsidR="00A402AF" w:rsidRPr="00EE5AD4">
        <w:rPr>
          <w:rFonts w:ascii="Corbel" w:hAnsi="Corbel"/>
        </w:rPr>
        <w:t xml:space="preserve">pour </w:t>
      </w:r>
      <w:r>
        <w:rPr>
          <w:rFonts w:ascii="Corbel" w:hAnsi="Corbel"/>
        </w:rPr>
        <w:t xml:space="preserve">diminuer autant que possible (et aussi vite que possible) la dépendance vis-à-vis </w:t>
      </w:r>
      <w:r w:rsidR="00A402AF" w:rsidRPr="00EE5AD4">
        <w:rPr>
          <w:rFonts w:ascii="Corbel" w:hAnsi="Corbel"/>
        </w:rPr>
        <w:t>de certaines substances.</w:t>
      </w:r>
      <w:r>
        <w:rPr>
          <w:rFonts w:ascii="Corbel" w:hAnsi="Corbel"/>
        </w:rPr>
        <w:t xml:space="preserve"> Mais </w:t>
      </w:r>
      <w:r w:rsidRPr="000B316E">
        <w:rPr>
          <w:rFonts w:ascii="Corbel" w:hAnsi="Corbel"/>
          <w:b/>
        </w:rPr>
        <w:t>une interdiction n’est</w:t>
      </w:r>
      <w:r w:rsidR="000B316E">
        <w:rPr>
          <w:rFonts w:ascii="Corbel" w:hAnsi="Corbel"/>
          <w:b/>
        </w:rPr>
        <w:t>, à l’heure actuelle,</w:t>
      </w:r>
      <w:r w:rsidRPr="000B316E">
        <w:rPr>
          <w:rFonts w:ascii="Corbel" w:hAnsi="Corbel"/>
          <w:b/>
        </w:rPr>
        <w:t xml:space="preserve"> ni justifiée scientifiquement ni </w:t>
      </w:r>
      <w:r w:rsidR="000B316E" w:rsidRPr="000B316E">
        <w:rPr>
          <w:rFonts w:ascii="Corbel" w:hAnsi="Corbel"/>
          <w:b/>
        </w:rPr>
        <w:t>économiquement soutenable</w:t>
      </w:r>
      <w:r w:rsidR="000B316E">
        <w:rPr>
          <w:rFonts w:ascii="Corbel" w:hAnsi="Corbel"/>
        </w:rPr>
        <w:t>.</w:t>
      </w:r>
    </w:p>
    <w:p w14:paraId="0FA628AA" w14:textId="71C4A344" w:rsidR="0005322B" w:rsidRPr="00BE21FA" w:rsidRDefault="0005322B" w:rsidP="00BE21FA">
      <w:pPr>
        <w:rPr>
          <w:rFonts w:ascii="Corbel" w:hAnsi="Corbel"/>
        </w:rPr>
      </w:pPr>
      <w:r>
        <w:rPr>
          <w:rFonts w:ascii="Corbel" w:hAnsi="Corbel"/>
        </w:rPr>
        <w:t>Nous faisons trois recommandations.</w:t>
      </w:r>
    </w:p>
    <w:p w14:paraId="21132DC8" w14:textId="33885FE8" w:rsidR="005C2ED5" w:rsidRDefault="005C2ED5" w:rsidP="005C2ED5">
      <w:pPr>
        <w:pStyle w:val="Titre3"/>
        <w:numPr>
          <w:ilvl w:val="0"/>
          <w:numId w:val="17"/>
        </w:numPr>
      </w:pPr>
      <w:bookmarkStart w:id="25" w:name="_Toc360458892"/>
      <w:r>
        <w:t>Une « logique du parapluie » à maîtriser</w:t>
      </w:r>
      <w:bookmarkEnd w:id="25"/>
    </w:p>
    <w:p w14:paraId="008216EC" w14:textId="77777777" w:rsidR="00E96A7B" w:rsidRDefault="00294079" w:rsidP="00BE21FA">
      <w:r w:rsidRPr="00FD5C05">
        <w:t>L’un des problèmes majeurs des choix publics est que</w:t>
      </w:r>
      <w:r>
        <w:t xml:space="preserve"> la</w:t>
      </w:r>
      <w:r w:rsidRPr="00FD5C05">
        <w:t xml:space="preserve"> logique du politique n’est pas celle des acteurs de la société. Responsable, au moins devant le tribunal de l’opinion, des conséquences de ses décisions, il cherchera à éviter d’être pris en faute et voudra à tout prix en éviter le risque. C’est pourquoi il préfèrera surprotéger pour se couvrir, même si le prix de cette tranquillité pour lui est l’étouffement de l’économie. </w:t>
      </w:r>
      <w:r w:rsidR="0005322B" w:rsidRPr="0056441E">
        <w:rPr>
          <w:b/>
        </w:rPr>
        <w:t xml:space="preserve">Cette logique de parapluie consistant à préférer interdire dans le doute, de peur de se voir reprocher sa négligence plus tard, est </w:t>
      </w:r>
      <w:r w:rsidR="0056441E" w:rsidRPr="0056441E">
        <w:rPr>
          <w:b/>
        </w:rPr>
        <w:t>un problème majeur.</w:t>
      </w:r>
      <w:r w:rsidR="0056441E">
        <w:rPr>
          <w:b/>
        </w:rPr>
        <w:t xml:space="preserve"> Le fait de confier la capacité de décision à des agences indépendantes telles que l’ANSES est une première forme encourageante de réponse. </w:t>
      </w:r>
      <w:r w:rsidR="0056441E" w:rsidRPr="0056441E">
        <w:t>Il faut éviter alors qu</w:t>
      </w:r>
      <w:r w:rsidR="0056441E">
        <w:t>e le politique prétende reprend</w:t>
      </w:r>
      <w:r w:rsidR="0056441E" w:rsidRPr="0056441E">
        <w:t>re</w:t>
      </w:r>
      <w:r w:rsidR="0056441E">
        <w:t xml:space="preserve"> la main par des déclarations péremptoires et i</w:t>
      </w:r>
      <w:r w:rsidR="008A4BC1">
        <w:t>ntem</w:t>
      </w:r>
      <w:r w:rsidR="0056441E">
        <w:t>pestives</w:t>
      </w:r>
      <w:r w:rsidR="008A4BC1">
        <w:t>.</w:t>
      </w:r>
      <w:r w:rsidR="007077AA">
        <w:t xml:space="preserve"> </w:t>
      </w:r>
    </w:p>
    <w:p w14:paraId="365C6262" w14:textId="18A4D90D" w:rsidR="00294079" w:rsidRPr="0056441E" w:rsidRDefault="007077AA" w:rsidP="00BE21FA">
      <w:pPr>
        <w:rPr>
          <w:b/>
        </w:rPr>
      </w:pPr>
      <w:r w:rsidRPr="007D138C">
        <w:rPr>
          <w:b/>
        </w:rPr>
        <w:t>Il faut au contraire permettre à l’ANSES d’accroître ses moyens</w:t>
      </w:r>
      <w:r>
        <w:t xml:space="preserve"> pour qu’elle puisse répondre aux demandes d</w:t>
      </w:r>
      <w:r w:rsidR="00E96A7B">
        <w:t xml:space="preserve">’évaluation de produit </w:t>
      </w:r>
      <w:r w:rsidR="007D138C">
        <w:t>dans des</w:t>
      </w:r>
      <w:r w:rsidR="00E96A7B">
        <w:t xml:space="preserve"> délai</w:t>
      </w:r>
      <w:r w:rsidR="007D138C">
        <w:t>s</w:t>
      </w:r>
      <w:r w:rsidR="00E96A7B">
        <w:t xml:space="preserve"> réduit</w:t>
      </w:r>
      <w:r w:rsidR="007D138C">
        <w:t>s</w:t>
      </w:r>
      <w:r w:rsidR="00E96A7B">
        <w:t xml:space="preserve">. </w:t>
      </w:r>
      <w:r w:rsidR="00E96A7B" w:rsidRPr="007D138C">
        <w:rPr>
          <w:b/>
        </w:rPr>
        <w:t>C</w:t>
      </w:r>
      <w:r w:rsidRPr="007D138C">
        <w:rPr>
          <w:b/>
        </w:rPr>
        <w:t>ette augmentation du budget</w:t>
      </w:r>
      <w:r w:rsidR="00E96A7B" w:rsidRPr="007D138C">
        <w:rPr>
          <w:b/>
        </w:rPr>
        <w:t>, il faut y insister, est</w:t>
      </w:r>
      <w:r w:rsidRPr="007D138C">
        <w:rPr>
          <w:b/>
        </w:rPr>
        <w:t xml:space="preserve"> entièrement financée </w:t>
      </w:r>
      <w:r w:rsidR="00E96A7B" w:rsidRPr="007D138C">
        <w:rPr>
          <w:b/>
        </w:rPr>
        <w:t>par le secteur privé et ne pèse pas sur les comptes publics</w:t>
      </w:r>
      <w:r w:rsidR="00E96A7B">
        <w:t xml:space="preserve"> puisque chaque entreprise demandeuse finance l’évaluation.</w:t>
      </w:r>
    </w:p>
    <w:p w14:paraId="43344B5B" w14:textId="16F28843" w:rsidR="005C2ED5" w:rsidRDefault="005C2ED5" w:rsidP="005C2ED5">
      <w:pPr>
        <w:pStyle w:val="Titre3"/>
      </w:pPr>
      <w:bookmarkStart w:id="26" w:name="_Toc360458893"/>
      <w:r>
        <w:t>Dépassionner le débat pour qu’il reste fondé sur les faits scientifiques</w:t>
      </w:r>
      <w:bookmarkEnd w:id="26"/>
    </w:p>
    <w:p w14:paraId="05742FD4" w14:textId="4321F7E8" w:rsidR="00990888" w:rsidRDefault="00990888" w:rsidP="00130373">
      <w:r>
        <w:t>Les responsables politiques français doivent avoir le courage de faire reposer les débats sur</w:t>
      </w:r>
      <w:r w:rsidR="008A4BC1">
        <w:t xml:space="preserve"> les faits et d’éviter d’organiser des confrontations opposant des opinions aux résultats scientifique. Cette logique du « micro-trottoir » consistant à considérer tout citoyen comme légitime à émettre un avis sur des sujets scientifiques doit être bannie. Les médias </w:t>
      </w:r>
      <w:r w:rsidR="00111153">
        <w:t>peuvent jouer</w:t>
      </w:r>
      <w:r w:rsidR="008A4BC1">
        <w:t xml:space="preserve"> un grand rôle </w:t>
      </w:r>
      <w:r w:rsidR="00111153">
        <w:t>dans le rétablissement d’un débat digne et rationnel sur ces questions sensibles.</w:t>
      </w:r>
      <w:r w:rsidR="008A4BC1">
        <w:t xml:space="preserve"> </w:t>
      </w:r>
    </w:p>
    <w:p w14:paraId="0FD6FF14" w14:textId="433E8CA2" w:rsidR="00215746" w:rsidRPr="004333C8" w:rsidRDefault="00EF29C8" w:rsidP="00EF29C8">
      <w:pPr>
        <w:pStyle w:val="Titre3"/>
      </w:pPr>
      <w:bookmarkStart w:id="27" w:name="_Toc360458894"/>
      <w:r>
        <w:t>Promouvoir dans l’immédiat u</w:t>
      </w:r>
      <w:r w:rsidR="00F33E35" w:rsidRPr="004333C8">
        <w:t>n</w:t>
      </w:r>
      <w:r w:rsidR="0019245B">
        <w:t xml:space="preserve"> encadrement </w:t>
      </w:r>
      <w:r w:rsidR="00F33E35" w:rsidRPr="004333C8">
        <w:t>des usages plutôt qu’une interdiction</w:t>
      </w:r>
      <w:bookmarkEnd w:id="27"/>
    </w:p>
    <w:p w14:paraId="6DEE1705" w14:textId="3FEA98F5" w:rsidR="00C775F9" w:rsidRDefault="00005DB5" w:rsidP="00005DB5">
      <w:r>
        <w:t xml:space="preserve">Les produits alternatifs sur lesquels travaillent </w:t>
      </w:r>
      <w:r w:rsidR="00C775F9" w:rsidRPr="0048122E">
        <w:t xml:space="preserve">Europe </w:t>
      </w:r>
      <w:r>
        <w:t>sont des herbicides</w:t>
      </w:r>
      <w:r w:rsidR="00A659DE">
        <w:t xml:space="preserve"> sélectifs qui n’auront jamais la qualité d’universalité du glyphosate. Si le remplacement du glyphosate par d’autres produits phytosanitaires ne doit pas être exclu,</w:t>
      </w:r>
      <w:r w:rsidR="00167A94">
        <w:t xml:space="preserve"> il ne doit pas intervenir en l’absence d’alternative réelle et sans que l’impact d’une telle interdiction soit évalué.</w:t>
      </w:r>
    </w:p>
    <w:p w14:paraId="2D045739" w14:textId="26E81EE8" w:rsidR="00005DB5" w:rsidRDefault="00785683" w:rsidP="00005DB5">
      <w:r w:rsidRPr="00420BCB">
        <w:rPr>
          <w:b/>
        </w:rPr>
        <w:t>Le contrôle des usages du produit</w:t>
      </w:r>
      <w:r>
        <w:t xml:space="preserve"> </w:t>
      </w:r>
      <w:r w:rsidR="00420BCB">
        <w:t xml:space="preserve">semble une façon intelligente de sortir d’un débat trop souvent présenté comme binaire (interdiction ou libre utilisation). </w:t>
      </w:r>
      <w:r w:rsidR="00130373">
        <w:t xml:space="preserve">En tant que produit chimique, il est clair que l’usage du glyphosate doit faire l’objet de règles spécifiques, et cela d’autant plus que les risques </w:t>
      </w:r>
      <w:r w:rsidR="0019245B">
        <w:t xml:space="preserve">environnementaux </w:t>
      </w:r>
      <w:r w:rsidR="00130373">
        <w:t xml:space="preserve">associés à son usage sont fortement dépendants des modes d’utilisation. </w:t>
      </w:r>
    </w:p>
    <w:p w14:paraId="774726A1" w14:textId="1C804F97" w:rsidR="00130373" w:rsidRDefault="00130373" w:rsidP="00005DB5">
      <w:r>
        <w:t>Des actions ont déjà été réalisées en ce sens. L’UIPP</w:t>
      </w:r>
      <w:r>
        <w:rPr>
          <w:rStyle w:val="Appelnotedebasdep"/>
        </w:rPr>
        <w:footnoteReference w:id="10"/>
      </w:r>
      <w:r>
        <w:t xml:space="preserve"> a par exemple promu le développement de « bonnes pratiques d’utilisation des spécialités à base de glyphosate en zones agricoles ». Elles recommandent d’adapter la dose à l’adventice, de traiter au bon stade végétatif et d’appliquer la spécialité dans des conditions météorologiques optimales. Le risque de ruissellement doit être pris en compte lors de l’application, les fossés en eau ou les zones proches d’un point d’eau ne doivent pas être traitées, une distance de 5 mètres doit être observée pour les zones non traitées. </w:t>
      </w:r>
    </w:p>
    <w:p w14:paraId="5DD05601" w14:textId="58A2A09F" w:rsidR="00130373" w:rsidRDefault="00130373" w:rsidP="00005DB5">
      <w:r>
        <w:t>Ces règles d’usage, tout à fait à la portée des professionnels que sont les agriculteurs, sont de nature à minimiser les risques d’impact sur l’environnement (et a fortiori sur la santé humaine).</w:t>
      </w:r>
    </w:p>
    <w:p w14:paraId="58EE07DF" w14:textId="51A5FF2A" w:rsidR="0025023C" w:rsidRPr="005636A4" w:rsidRDefault="0025023C" w:rsidP="0025023C">
      <w:r>
        <w:t xml:space="preserve">Le Plan Ecophyto II piloté par les ministères de l’Agriculture et de l’Environnement est trop souvent réduit à un seul objectif : la réduction des volumes de 25% des produits phytosanitaires employés d’ici 2020. Mais c’est oublier qu’il souhaite également « réduire </w:t>
      </w:r>
      <w:r w:rsidRPr="005636A4">
        <w:t>l’usage, les risques et les impacts des produits phytosanitaires</w:t>
      </w:r>
      <w:r>
        <w:t> ». Cette approche en termes de réduction d’impact est, si l’on y réfléchit bien, le vrai objectif final dont la baisse du volume n’est qu’un moyen parmi d’autres (et pas nécessairement le meilleur, puisque très peu de produit très mal utilisé peu</w:t>
      </w:r>
      <w:r w:rsidR="002664CC">
        <w:t>t</w:t>
      </w:r>
      <w:r>
        <w:t xml:space="preserve"> être plus nocif qu’un grand volume employé avec discernement !). </w:t>
      </w:r>
    </w:p>
    <w:p w14:paraId="778F8BAB" w14:textId="77777777" w:rsidR="0025023C" w:rsidRDefault="0025023C" w:rsidP="00005DB5"/>
    <w:p w14:paraId="7625A2B4" w14:textId="77777777" w:rsidR="007471B2" w:rsidRPr="00457CC1" w:rsidRDefault="007471B2" w:rsidP="00005DB5">
      <w:pPr>
        <w:rPr>
          <w:i/>
        </w:rPr>
      </w:pPr>
    </w:p>
    <w:p w14:paraId="32E1E559" w14:textId="77777777" w:rsidR="00BD09EC" w:rsidRDefault="00BD09EC" w:rsidP="0090070D">
      <w:pPr>
        <w:rPr>
          <w:rFonts w:ascii="Corbel" w:hAnsi="Corbel"/>
        </w:rPr>
      </w:pPr>
    </w:p>
    <w:p w14:paraId="1F285B67" w14:textId="0FF1A868" w:rsidR="00BD09EC" w:rsidRPr="00ED79EC" w:rsidRDefault="00BD09EC" w:rsidP="0090070D">
      <w:pPr>
        <w:pStyle w:val="Titre1"/>
        <w:numPr>
          <w:ilvl w:val="0"/>
          <w:numId w:val="0"/>
        </w:numPr>
        <w:ind w:left="720"/>
      </w:pPr>
      <w:bookmarkStart w:id="28" w:name="_Toc360458895"/>
      <w:r w:rsidRPr="00ED79EC">
        <w:t xml:space="preserve">Conclusion : </w:t>
      </w:r>
      <w:r w:rsidR="00C142EE" w:rsidRPr="00ED79EC">
        <w:t>b</w:t>
      </w:r>
      <w:r w:rsidR="00C75CA4" w:rsidRPr="00ED79EC">
        <w:t>ie</w:t>
      </w:r>
      <w:r w:rsidRPr="00ED79EC">
        <w:t>n</w:t>
      </w:r>
      <w:r w:rsidR="00C75CA4" w:rsidRPr="00ED79EC">
        <w:t xml:space="preserve"> ut</w:t>
      </w:r>
      <w:r w:rsidRPr="00ED79EC">
        <w:t>i</w:t>
      </w:r>
      <w:r w:rsidR="00C75CA4" w:rsidRPr="00ED79EC">
        <w:t>lis</w:t>
      </w:r>
      <w:r w:rsidRPr="00ED79EC">
        <w:t>e</w:t>
      </w:r>
      <w:r w:rsidR="00C75CA4" w:rsidRPr="00ED79EC">
        <w:t>r le principe de précaution</w:t>
      </w:r>
      <w:bookmarkEnd w:id="28"/>
    </w:p>
    <w:p w14:paraId="18C534E6" w14:textId="77777777" w:rsidR="00294079" w:rsidRDefault="00294079" w:rsidP="00DA4CDE"/>
    <w:p w14:paraId="4EBB07CB" w14:textId="3A858EC1" w:rsidR="00267672" w:rsidRDefault="00267672" w:rsidP="00DA4CDE">
      <w:r>
        <w:t>Le principe de précaution</w:t>
      </w:r>
      <w:r w:rsidR="00C142EE">
        <w:t>, qui est depuis 2005 inscrit dans la Constitution</w:t>
      </w:r>
      <w:r w:rsidR="00C142EE">
        <w:rPr>
          <w:rStyle w:val="Appelnotedebasdep"/>
          <w:rFonts w:ascii="Corbel" w:hAnsi="Corbel"/>
        </w:rPr>
        <w:footnoteReference w:id="11"/>
      </w:r>
      <w:r w:rsidR="00C142EE">
        <w:t>, est souvent mal compris et donc mal utilisé. Il n’associe pas la présence d’un risque à l’inaction. Il est au contraire un principe d’action : face à un risque potentiel, il indique la nécessité d’évaluer ce risque de façon la plus objective possible</w:t>
      </w:r>
      <w:r w:rsidR="00F362BE">
        <w:t xml:space="preserve">. Il s’agit ainsi de faire appel à la science pour lever un doute et non de promouvoir le </w:t>
      </w:r>
      <w:r w:rsidR="00F362BE" w:rsidRPr="003C2E97">
        <w:rPr>
          <w:i/>
        </w:rPr>
        <w:t>statu quo</w:t>
      </w:r>
      <w:r w:rsidR="00F362BE">
        <w:t xml:space="preserve">. </w:t>
      </w:r>
      <w:r w:rsidR="00D41873">
        <w:t>Une fois le doute levé par le travail scientifique, le temps de l’action maîtrisée doit venir.</w:t>
      </w:r>
    </w:p>
    <w:p w14:paraId="138CCDCB" w14:textId="115C558B" w:rsidR="00945E80" w:rsidRDefault="00945E80" w:rsidP="00DA4CDE">
      <w:r>
        <w:t xml:space="preserve">Ajoutons que, dans sa première formulation en droit français par la loi Barnier de 1995, la France avait jugé bon d’introduire l’idée du « coût économiquement acceptable » comme </w:t>
      </w:r>
      <w:r w:rsidR="004A120A">
        <w:t xml:space="preserve">critère des mesures « effectives et proportionnées » visant à prévenir un risque de </w:t>
      </w:r>
      <w:r w:rsidR="00F362BE">
        <w:t>« </w:t>
      </w:r>
      <w:r w:rsidR="004A120A">
        <w:t>dommages</w:t>
      </w:r>
      <w:r w:rsidR="00F362BE">
        <w:t xml:space="preserve"> et irréversibles à l’environnement ».</w:t>
      </w:r>
      <w:r w:rsidR="004A120A">
        <w:t xml:space="preserve"> </w:t>
      </w:r>
      <w:r w:rsidR="00F362BE">
        <w:t>C’est ce coût qui pose en particulier problème dans l’hypothèse d’une interdiction subite et totale du glyphosate pour les usages professionnels.</w:t>
      </w:r>
      <w:r w:rsidR="00D41873">
        <w:t xml:space="preserve"> En l’état actuel des connaissances et des méthodes, </w:t>
      </w:r>
      <w:r w:rsidR="00D41873" w:rsidRPr="00FF3951">
        <w:rPr>
          <w:b/>
        </w:rPr>
        <w:t xml:space="preserve">il faut souligner avec force qu’une telle hypothèse ne serait pas seulement une </w:t>
      </w:r>
      <w:r w:rsidR="008627B7" w:rsidRPr="00FF3951">
        <w:rPr>
          <w:b/>
        </w:rPr>
        <w:t xml:space="preserve">erreur scientifique, cela </w:t>
      </w:r>
      <w:r w:rsidR="00D41873" w:rsidRPr="00FF3951">
        <w:rPr>
          <w:b/>
        </w:rPr>
        <w:t xml:space="preserve">constituerait </w:t>
      </w:r>
      <w:r w:rsidR="008627B7" w:rsidRPr="00FF3951">
        <w:rPr>
          <w:b/>
        </w:rPr>
        <w:t xml:space="preserve">aussi </w:t>
      </w:r>
      <w:r w:rsidR="00D41873" w:rsidRPr="00FF3951">
        <w:rPr>
          <w:b/>
        </w:rPr>
        <w:t xml:space="preserve">une </w:t>
      </w:r>
      <w:r w:rsidR="00FF3951" w:rsidRPr="00FF3951">
        <w:rPr>
          <w:b/>
        </w:rPr>
        <w:t xml:space="preserve">véritable </w:t>
      </w:r>
      <w:r w:rsidR="00D41873" w:rsidRPr="00FF3951">
        <w:rPr>
          <w:b/>
        </w:rPr>
        <w:t>impasse technologique</w:t>
      </w:r>
      <w:r w:rsidR="00FF3951">
        <w:t>.</w:t>
      </w:r>
    </w:p>
    <w:p w14:paraId="71F9A025" w14:textId="683ABFB4" w:rsidR="00C334E6" w:rsidRDefault="00C334E6" w:rsidP="00C334E6">
      <w:r>
        <w:rPr>
          <w:rFonts w:eastAsia="Times New Roman" w:cs="Times New Roman"/>
          <w:bCs/>
          <w:lang w:eastAsia="fr-FR"/>
        </w:rPr>
        <w:t>Nos</w:t>
      </w:r>
      <w:r w:rsidRPr="00FD5C05">
        <w:rPr>
          <w:rFonts w:eastAsia="Times New Roman" w:cs="Times New Roman"/>
          <w:bCs/>
          <w:lang w:eastAsia="fr-FR"/>
        </w:rPr>
        <w:t xml:space="preserve"> décisions publiques </w:t>
      </w:r>
      <w:r>
        <w:rPr>
          <w:rFonts w:eastAsia="Times New Roman" w:cs="Times New Roman"/>
          <w:bCs/>
          <w:lang w:eastAsia="fr-FR"/>
        </w:rPr>
        <w:t>sont trop souvent</w:t>
      </w:r>
      <w:r w:rsidRPr="00FD5C05">
        <w:rPr>
          <w:rFonts w:eastAsia="Times New Roman" w:cs="Times New Roman"/>
          <w:bCs/>
          <w:lang w:eastAsia="fr-FR"/>
        </w:rPr>
        <w:t xml:space="preserve"> prises sous l’influence de l’i</w:t>
      </w:r>
      <w:r>
        <w:rPr>
          <w:rFonts w:eastAsia="Times New Roman" w:cs="Times New Roman"/>
          <w:bCs/>
          <w:lang w:eastAsia="fr-FR"/>
        </w:rPr>
        <w:t>ntimidation et de la démagogie,</w:t>
      </w:r>
      <w:r w:rsidRPr="00FD5C05">
        <w:rPr>
          <w:rFonts w:eastAsia="Times New Roman" w:cs="Times New Roman"/>
          <w:bCs/>
          <w:lang w:eastAsia="fr-FR"/>
        </w:rPr>
        <w:t xml:space="preserve"> </w:t>
      </w:r>
      <w:r w:rsidRPr="00FD5C05">
        <w:t>au mépris de l’avis des chercheurs que l’administration a elle-même</w:t>
      </w:r>
      <w:r>
        <w:t xml:space="preserve"> sollicités, </w:t>
      </w:r>
      <w:r w:rsidRPr="00FD5C05">
        <w:rPr>
          <w:rFonts w:eastAsia="Times New Roman" w:cs="Times New Roman"/>
          <w:bCs/>
          <w:lang w:eastAsia="fr-FR"/>
        </w:rPr>
        <w:t>au risqu</w:t>
      </w:r>
      <w:r>
        <w:rPr>
          <w:rFonts w:eastAsia="Times New Roman" w:cs="Times New Roman"/>
          <w:bCs/>
          <w:lang w:eastAsia="fr-FR"/>
        </w:rPr>
        <w:t>e d’exclure notre pays de toute</w:t>
      </w:r>
      <w:r w:rsidRPr="00FD5C05">
        <w:rPr>
          <w:rFonts w:eastAsia="Times New Roman" w:cs="Times New Roman"/>
          <w:bCs/>
          <w:lang w:eastAsia="fr-FR"/>
        </w:rPr>
        <w:t xml:space="preserve"> avancée dans le domaine agricole.</w:t>
      </w:r>
      <w:r w:rsidRPr="00FD5C05">
        <w:rPr>
          <w:rFonts w:eastAsia="Times New Roman" w:cs="Times New Roman"/>
          <w:lang w:eastAsia="fr-FR"/>
        </w:rPr>
        <w:t xml:space="preserve"> Depuis  plusieurs années, l</w:t>
      </w:r>
      <w:r>
        <w:rPr>
          <w:rFonts w:eastAsia="Times New Roman" w:cs="Times New Roman"/>
          <w:lang w:eastAsia="fr-FR"/>
        </w:rPr>
        <w:t>e ministère de l’E</w:t>
      </w:r>
      <w:r w:rsidRPr="00FD5C05">
        <w:rPr>
          <w:rFonts w:eastAsia="Times New Roman" w:cs="Times New Roman"/>
          <w:lang w:eastAsia="fr-FR"/>
        </w:rPr>
        <w:t xml:space="preserve">nvironnement met des boulets aux pieds des agriculteurs français. </w:t>
      </w:r>
      <w:r w:rsidRPr="00FD5C05">
        <w:t xml:space="preserve">Rappelons l’interdiction du Dimethoate, seul insecticide capable de lutter contre </w:t>
      </w:r>
      <w:r w:rsidR="002664CC">
        <w:t>D</w:t>
      </w:r>
      <w:r w:rsidRPr="00FD5C05">
        <w:t xml:space="preserve">rosophila suzuki, une mouche  ravageuse des cerises, imposée en France, puis imposée par la France à l’Europe. </w:t>
      </w:r>
      <w:r w:rsidRPr="00FD5C05">
        <w:rPr>
          <w:rFonts w:eastAsia="Times New Roman" w:cs="Times New Roman"/>
          <w:bCs/>
          <w:lang w:eastAsia="fr-FR"/>
        </w:rPr>
        <w:t>Ce produit a été retiré du marché fin février 2016, de façon inattendue et sans aucune dérogation</w:t>
      </w:r>
      <w:r w:rsidRPr="00FD5C05">
        <w:rPr>
          <w:rFonts w:eastAsia="Times New Roman" w:cs="Times New Roman"/>
          <w:lang w:eastAsia="fr-FR"/>
        </w:rPr>
        <w:t xml:space="preserve">. </w:t>
      </w:r>
      <w:r>
        <w:rPr>
          <w:rFonts w:eastAsia="Times New Roman" w:cs="Times New Roman"/>
          <w:lang w:eastAsia="fr-FR"/>
        </w:rPr>
        <w:t xml:space="preserve">Notre propre production étant du coup en recul, la France importe des cerises européennes… traitées au Dimethoate ! La France multiplie ses handicaps à plaisir : </w:t>
      </w:r>
      <w:r w:rsidRPr="00FD5C05">
        <w:rPr>
          <w:rFonts w:eastAsia="Times New Roman" w:cs="Times New Roman"/>
          <w:bCs/>
          <w:lang w:eastAsia="fr-FR"/>
        </w:rPr>
        <w:t>les produits</w:t>
      </w:r>
      <w:r>
        <w:rPr>
          <w:rFonts w:eastAsia="Times New Roman" w:cs="Times New Roman"/>
          <w:bCs/>
          <w:lang w:eastAsia="fr-FR"/>
        </w:rPr>
        <w:t xml:space="preserve"> autorisés</w:t>
      </w:r>
      <w:r w:rsidRPr="00FD5C05">
        <w:rPr>
          <w:rFonts w:eastAsia="Times New Roman" w:cs="Times New Roman"/>
          <w:bCs/>
          <w:lang w:eastAsia="fr-FR"/>
        </w:rPr>
        <w:t xml:space="preserve"> permettan</w:t>
      </w:r>
      <w:r>
        <w:rPr>
          <w:rFonts w:eastAsia="Times New Roman" w:cs="Times New Roman"/>
          <w:bCs/>
          <w:lang w:eastAsia="fr-FR"/>
        </w:rPr>
        <w:t>t de lutter contre les maladies</w:t>
      </w:r>
      <w:r w:rsidRPr="00FD5C05">
        <w:rPr>
          <w:rFonts w:eastAsia="Times New Roman" w:cs="Times New Roman"/>
          <w:bCs/>
          <w:lang w:eastAsia="fr-FR"/>
        </w:rPr>
        <w:t xml:space="preserve"> du riz et contre ses ravageurs dans les trois seuls pay</w:t>
      </w:r>
      <w:r>
        <w:rPr>
          <w:rFonts w:eastAsia="Times New Roman" w:cs="Times New Roman"/>
          <w:bCs/>
          <w:lang w:eastAsia="fr-FR"/>
        </w:rPr>
        <w:t>s producteurs de riz en Europe sont au nombre de</w:t>
      </w:r>
      <w:r w:rsidRPr="00FD5C05">
        <w:rPr>
          <w:rFonts w:eastAsia="Times New Roman" w:cs="Times New Roman"/>
          <w:bCs/>
          <w:lang w:eastAsia="fr-FR"/>
        </w:rPr>
        <w:t xml:space="preserve"> 21 en Italie, 18 en Espagne, 5 en France !</w:t>
      </w:r>
      <w:r w:rsidRPr="00FD5C05">
        <w:t xml:space="preserve"> </w:t>
      </w:r>
    </w:p>
    <w:p w14:paraId="5FEE26CD" w14:textId="0CEB4302" w:rsidR="002664CC" w:rsidRPr="00FD5C05" w:rsidRDefault="002664CC" w:rsidP="00C334E6">
      <w:r>
        <w:t>Rappelons l’exemple des néonicotinoïdes, qui viennent de faire l’objet d’un arbitrage particulièrement démagogique entre le ministre de l’</w:t>
      </w:r>
      <w:r w:rsidR="00A07706">
        <w:t>E</w:t>
      </w:r>
      <w:r>
        <w:t>nvironnement et le ministre de l’</w:t>
      </w:r>
      <w:r w:rsidR="00A07706">
        <w:t>A</w:t>
      </w:r>
      <w:r>
        <w:t>griculture, qui proposait de les autoriser pour des usages sans danger pour les insectes pollinisateurs, en particulier pour l’enrobage des semences de plantes non florifères qui n’attirent pas les butineurs.</w:t>
      </w:r>
    </w:p>
    <w:p w14:paraId="10819D8F" w14:textId="09304D36" w:rsidR="00C334E6" w:rsidRPr="00FD5C05" w:rsidRDefault="00C334E6" w:rsidP="00C334E6">
      <w:pPr>
        <w:rPr>
          <w:rFonts w:eastAsia="Times New Roman" w:cs="Times New Roman"/>
          <w:lang w:eastAsia="fr-FR"/>
        </w:rPr>
      </w:pPr>
      <w:r w:rsidRPr="00FD5C05">
        <w:t>Il y a malheureusement bien d’autres exemples</w:t>
      </w:r>
      <w:r>
        <w:t>.</w:t>
      </w:r>
      <w:r w:rsidRPr="00FD5C05">
        <w:t> </w:t>
      </w:r>
      <w:r w:rsidRPr="00FD5C05">
        <w:rPr>
          <w:rFonts w:eastAsia="Times New Roman" w:cs="Times New Roman"/>
          <w:lang w:eastAsia="fr-FR"/>
        </w:rPr>
        <w:t>L’intérêt économique de nombreuses fili</w:t>
      </w:r>
      <w:r>
        <w:rPr>
          <w:rFonts w:eastAsia="Times New Roman" w:cs="Times New Roman"/>
          <w:lang w:eastAsia="fr-FR"/>
        </w:rPr>
        <w:t>ères, pourtant exportatrices, passe trop souvent après celui de nos responsables politiques désirant « se couvrir » et éviter les foudres d’associations spécialistes de la propagande précautionniste</w:t>
      </w:r>
      <w:r w:rsidRPr="00FD5C05">
        <w:rPr>
          <w:rFonts w:eastAsia="Times New Roman" w:cs="Times New Roman"/>
          <w:lang w:eastAsia="fr-FR"/>
        </w:rPr>
        <w:t>.</w:t>
      </w:r>
      <w:r>
        <w:rPr>
          <w:rFonts w:eastAsia="Times New Roman" w:cs="Times New Roman"/>
          <w:lang w:eastAsia="fr-FR"/>
        </w:rPr>
        <w:t xml:space="preserve"> C</w:t>
      </w:r>
      <w:r w:rsidRPr="00FD5C05">
        <w:rPr>
          <w:rFonts w:eastAsia="Times New Roman" w:cs="Times New Roman"/>
          <w:lang w:eastAsia="fr-FR"/>
        </w:rPr>
        <w:t xml:space="preserve">ertaines </w:t>
      </w:r>
      <w:r>
        <w:rPr>
          <w:rFonts w:eastAsia="Times New Roman" w:cs="Times New Roman"/>
          <w:lang w:eastAsia="fr-FR"/>
        </w:rPr>
        <w:t>filières</w:t>
      </w:r>
      <w:r w:rsidRPr="00FD5C05">
        <w:rPr>
          <w:rFonts w:eastAsia="Times New Roman" w:cs="Times New Roman"/>
          <w:lang w:eastAsia="fr-FR"/>
        </w:rPr>
        <w:t xml:space="preserve"> sont </w:t>
      </w:r>
      <w:r>
        <w:rPr>
          <w:rFonts w:eastAsia="Times New Roman" w:cs="Times New Roman"/>
          <w:lang w:eastAsia="fr-FR"/>
        </w:rPr>
        <w:t>mêmes privées d’échappatoire, la règlementation les privant</w:t>
      </w:r>
      <w:r w:rsidRPr="00FD5C05">
        <w:rPr>
          <w:rFonts w:eastAsia="Times New Roman" w:cs="Times New Roman"/>
          <w:lang w:eastAsia="fr-FR"/>
        </w:rPr>
        <w:t xml:space="preserve"> à la fois des produits de protection des plantes et des progrès génétiques qui permettraient de les rendre plus résistantes</w:t>
      </w:r>
      <w:r>
        <w:rPr>
          <w:rFonts w:eastAsia="Times New Roman" w:cs="Times New Roman"/>
          <w:lang w:eastAsia="fr-FR"/>
        </w:rPr>
        <w:t xml:space="preserve"> et donc d’éviter lesdits produits !</w:t>
      </w:r>
      <w:r w:rsidRPr="00FD5C05">
        <w:t xml:space="preserve"> </w:t>
      </w:r>
      <w:r w:rsidRPr="00FD5C05">
        <w:rPr>
          <w:rFonts w:eastAsia="Times New Roman" w:cs="Times New Roman"/>
          <w:lang w:eastAsia="fr-FR"/>
        </w:rPr>
        <w:t>L’impact de ces régressions volontaires est considérable et menace, à terme, notre indépendance alimentaire.</w:t>
      </w:r>
      <w:r>
        <w:rPr>
          <w:rFonts w:eastAsia="Times New Roman" w:cs="Times New Roman"/>
          <w:lang w:eastAsia="fr-FR"/>
        </w:rPr>
        <w:t xml:space="preserve"> </w:t>
      </w:r>
    </w:p>
    <w:p w14:paraId="6EDEBFD5" w14:textId="77777777" w:rsidR="00C334E6" w:rsidRDefault="00C334E6" w:rsidP="00DA4CDE">
      <w:r w:rsidRPr="00FD5C05">
        <w:t xml:space="preserve">Nos dirigeants ont-ils bien réfléchi à l’impact qu’une interdiction totale de cette molécule aurait sur notre économie agricole ? Le glyphosate est le seul herbicide utilisable  pour de nombreuses cultures ; son interdiction provoquerait une impasse technologique majeure qui priverait les agriculteurs européens et eux seuls d’un nouveau produit de protection des cultures. </w:t>
      </w:r>
      <w:r>
        <w:t>Plus grave encore : l</w:t>
      </w:r>
      <w:r w:rsidRPr="00FD5C05">
        <w:t xml:space="preserve">e risque est grand que, l’Europe restant raisonnable, la France seule s’enfonce une fois de plus dans sa logique d’auto-flagellation. </w:t>
      </w:r>
    </w:p>
    <w:p w14:paraId="1E4A60CF" w14:textId="7272328E" w:rsidR="00FF3951" w:rsidRPr="008970D0" w:rsidRDefault="00FF3951" w:rsidP="00DA4CDE">
      <w:pPr>
        <w:rPr>
          <w:b/>
        </w:rPr>
      </w:pPr>
      <w:r>
        <w:t>Evitant de céder à la pression de quelques minorités</w:t>
      </w:r>
      <w:r w:rsidRPr="00FF3951">
        <w:t xml:space="preserve"> </w:t>
      </w:r>
      <w:r>
        <w:t>animées par une idéologie sans doute de bonne foi, mais où le débat est avant tout abordé sur le registre de l’émotion et d’</w:t>
      </w:r>
      <w:r w:rsidRPr="008970D0">
        <w:rPr>
          <w:i/>
        </w:rPr>
        <w:t xml:space="preserve">a priori </w:t>
      </w:r>
      <w:r>
        <w:t xml:space="preserve">simplificateurs, </w:t>
      </w:r>
      <w:r w:rsidRPr="008970D0">
        <w:rPr>
          <w:b/>
        </w:rPr>
        <w:t xml:space="preserve">la France doit choisir la voie indiquée par le principe de précaution bien compris : celle d’un traitement dépassionné et scientifique </w:t>
      </w:r>
      <w:r w:rsidR="0029009C" w:rsidRPr="008970D0">
        <w:rPr>
          <w:b/>
        </w:rPr>
        <w:t>du dossier.</w:t>
      </w:r>
    </w:p>
    <w:p w14:paraId="4381B56E" w14:textId="43868EE4" w:rsidR="00C75CA4" w:rsidRPr="0090070D" w:rsidRDefault="00DA4CDE" w:rsidP="00DA4CDE">
      <w:r>
        <w:t xml:space="preserve">Il importe de </w:t>
      </w:r>
      <w:r w:rsidRPr="008970D0">
        <w:rPr>
          <w:b/>
        </w:rPr>
        <w:t xml:space="preserve">généraliser le principe d’un </w:t>
      </w:r>
      <w:r w:rsidR="008970D0" w:rsidRPr="008970D0">
        <w:rPr>
          <w:b/>
        </w:rPr>
        <w:t xml:space="preserve">encadrement </w:t>
      </w:r>
      <w:r w:rsidRPr="008970D0">
        <w:rPr>
          <w:b/>
        </w:rPr>
        <w:t xml:space="preserve">raisonné </w:t>
      </w:r>
      <w:r w:rsidR="008970D0" w:rsidRPr="008970D0">
        <w:rPr>
          <w:b/>
        </w:rPr>
        <w:t>de l’usage</w:t>
      </w:r>
      <w:r w:rsidRPr="008970D0">
        <w:rPr>
          <w:b/>
        </w:rPr>
        <w:t xml:space="preserve"> glyphosate</w:t>
      </w:r>
      <w:r>
        <w:t xml:space="preserve"> afin de permettre à des solutions pérennes de remplacement d’émerger</w:t>
      </w:r>
      <w:r w:rsidR="0029009C">
        <w:t>, par exemple en développant de nouveaux procédés</w:t>
      </w:r>
      <w:r>
        <w:t xml:space="preserve"> ou de nouvelles molécules</w:t>
      </w:r>
      <w:r w:rsidR="0029009C">
        <w:t xml:space="preserve">. </w:t>
      </w:r>
      <w:r>
        <w:t xml:space="preserve">Le </w:t>
      </w:r>
      <w:r w:rsidR="00BD09EC" w:rsidRPr="0090070D">
        <w:t>retour e</w:t>
      </w:r>
      <w:r>
        <w:t>n arrière vers des procédées coû</w:t>
      </w:r>
      <w:r w:rsidR="00BD09EC" w:rsidRPr="0090070D">
        <w:t xml:space="preserve">teux, </w:t>
      </w:r>
      <w:r>
        <w:t>présentant un danger souvent bien plus grand, doit être absolument évité.</w:t>
      </w:r>
    </w:p>
    <w:p w14:paraId="1CDFC057" w14:textId="77777777" w:rsidR="007471B2" w:rsidRDefault="007471B2">
      <w:pPr>
        <w:spacing w:after="0"/>
        <w:ind w:firstLine="0"/>
        <w:jc w:val="left"/>
        <w:rPr>
          <w:i/>
        </w:rPr>
      </w:pPr>
    </w:p>
    <w:p w14:paraId="46045478" w14:textId="77777777" w:rsidR="00215746" w:rsidRDefault="00215746">
      <w:pPr>
        <w:spacing w:after="0"/>
        <w:ind w:firstLine="0"/>
        <w:jc w:val="left"/>
        <w:rPr>
          <w:i/>
        </w:rPr>
      </w:pPr>
    </w:p>
    <w:p w14:paraId="2F294DE5" w14:textId="77777777" w:rsidR="00215746" w:rsidRDefault="00215746">
      <w:pPr>
        <w:spacing w:after="0"/>
        <w:ind w:firstLine="0"/>
        <w:jc w:val="left"/>
        <w:rPr>
          <w:i/>
        </w:rPr>
      </w:pPr>
    </w:p>
    <w:p w14:paraId="0CBD173B" w14:textId="77777777" w:rsidR="00D25B4F" w:rsidRDefault="00D25B4F" w:rsidP="00D25B4F"/>
    <w:p w14:paraId="30741343" w14:textId="77777777" w:rsidR="00D25B4F" w:rsidRDefault="00D25B4F">
      <w:pPr>
        <w:spacing w:after="0"/>
        <w:ind w:firstLine="0"/>
        <w:jc w:val="left"/>
        <w:rPr>
          <w:i/>
        </w:rPr>
      </w:pPr>
    </w:p>
    <w:p w14:paraId="5ECFC958" w14:textId="77777777" w:rsidR="004D4819" w:rsidRDefault="004D4819" w:rsidP="00F63E66">
      <w:pPr>
        <w:rPr>
          <w:i/>
        </w:rPr>
      </w:pPr>
    </w:p>
    <w:p w14:paraId="41C6C4AF" w14:textId="017445EB" w:rsidR="000F42FB" w:rsidRDefault="000F42FB" w:rsidP="00D25B4F">
      <w:pPr>
        <w:pStyle w:val="Titre1"/>
        <w:numPr>
          <w:ilvl w:val="0"/>
          <w:numId w:val="0"/>
        </w:numPr>
        <w:ind w:left="720"/>
      </w:pPr>
      <w:bookmarkStart w:id="29" w:name="_Toc360458896"/>
      <w:r>
        <w:t>Annexes</w:t>
      </w:r>
      <w:bookmarkEnd w:id="29"/>
    </w:p>
    <w:p w14:paraId="5D70C4FC" w14:textId="7C886B2E" w:rsidR="00D25B4F" w:rsidRDefault="00D25B4F" w:rsidP="000F42FB">
      <w:pPr>
        <w:pStyle w:val="Titre2"/>
        <w:numPr>
          <w:ilvl w:val="0"/>
          <w:numId w:val="24"/>
        </w:numPr>
      </w:pPr>
      <w:bookmarkStart w:id="30" w:name="_Toc360458897"/>
      <w:r>
        <w:t>Liste des auditions réalisées</w:t>
      </w:r>
      <w:bookmarkEnd w:id="30"/>
    </w:p>
    <w:p w14:paraId="5A2FF2F4" w14:textId="77777777" w:rsidR="00D25B4F" w:rsidRDefault="00D25B4F" w:rsidP="00D25B4F"/>
    <w:p w14:paraId="4A16AD62" w14:textId="77777777" w:rsidR="00C775F9" w:rsidRPr="0048122E" w:rsidRDefault="00C775F9" w:rsidP="008970D0">
      <w:r w:rsidRPr="0048122E">
        <w:t>M. Jean-Paul Genay, Business Development Manager pour la société Albaugh Europe.</w:t>
      </w:r>
    </w:p>
    <w:p w14:paraId="5D646285" w14:textId="602E1F78" w:rsidR="003659C8" w:rsidRPr="00793DE4" w:rsidRDefault="008970D0" w:rsidP="008970D0">
      <w:r w:rsidRPr="00793DE4">
        <w:t>Arvalis jean-paul Bordes, directeur Recherche et Développement, Arvalis.</w:t>
      </w:r>
    </w:p>
    <w:p w14:paraId="22E55E3E" w14:textId="74A4BCE8" w:rsidR="00EB1EDC" w:rsidRPr="00793DE4" w:rsidRDefault="008970D0" w:rsidP="008970D0">
      <w:r w:rsidRPr="00793DE4">
        <w:t xml:space="preserve">M. </w:t>
      </w:r>
      <w:r w:rsidR="00EB1EDC" w:rsidRPr="00793DE4">
        <w:t>Bernard Torrin</w:t>
      </w:r>
      <w:r w:rsidRPr="00793DE4">
        <w:t xml:space="preserve">, </w:t>
      </w:r>
      <w:r w:rsidR="00793DE4">
        <w:t>SNCF,</w:t>
      </w:r>
      <w:r w:rsidR="00EB1EDC" w:rsidRPr="00793DE4">
        <w:t xml:space="preserve"> </w:t>
      </w:r>
      <w:r w:rsidR="00793DE4">
        <w:t>directeur développement durable.</w:t>
      </w:r>
    </w:p>
    <w:p w14:paraId="545D23A0" w14:textId="57ED247B" w:rsidR="00EB1EDC" w:rsidRPr="00793DE4" w:rsidRDefault="008970D0" w:rsidP="008970D0">
      <w:r w:rsidRPr="00793DE4">
        <w:t xml:space="preserve">M. Michel Morin, SNCF, </w:t>
      </w:r>
      <w:r w:rsidR="00EB1EDC" w:rsidRPr="00793DE4">
        <w:t>responsable du département voie à la direction technique</w:t>
      </w:r>
      <w:r w:rsidRPr="00793DE4">
        <w:t>.</w:t>
      </w:r>
    </w:p>
    <w:p w14:paraId="7C956560" w14:textId="49E6CCCC" w:rsidR="00495D44" w:rsidRPr="00EE5AD4" w:rsidRDefault="00495D44" w:rsidP="008970D0">
      <w:r w:rsidRPr="00EE5AD4">
        <w:t>M. Alain Tridon, sous-directeur de la qualité, de la santé et de la protection des végétaux.</w:t>
      </w:r>
    </w:p>
    <w:p w14:paraId="64E1EB8F" w14:textId="1C1E1A61" w:rsidR="00C775F9" w:rsidRDefault="008970D0" w:rsidP="008970D0">
      <w:r>
        <w:t>M. Roger G</w:t>
      </w:r>
      <w:r w:rsidR="003659C8">
        <w:t>enet</w:t>
      </w:r>
      <w:r>
        <w:t>, directeur de l’A</w:t>
      </w:r>
      <w:r w:rsidR="003659C8">
        <w:t>nses</w:t>
      </w:r>
    </w:p>
    <w:p w14:paraId="2170A633" w14:textId="25E660F8" w:rsidR="003659C8" w:rsidRDefault="003659C8" w:rsidP="00D25B4F">
      <w:r w:rsidRPr="00793DE4">
        <w:rPr>
          <w:highlight w:val="yellow"/>
        </w:rPr>
        <w:t>(Interel : plateforme glyphosate France)</w:t>
      </w:r>
      <w:r w:rsidR="00111153">
        <w:t xml:space="preserve"> le mettre ?</w:t>
      </w:r>
    </w:p>
    <w:p w14:paraId="4AF29B02" w14:textId="77777777" w:rsidR="003659C8" w:rsidRDefault="003659C8" w:rsidP="00D25B4F"/>
    <w:p w14:paraId="72C319EE" w14:textId="692C93B6" w:rsidR="000F42FB" w:rsidRDefault="000F42FB" w:rsidP="000F42FB">
      <w:pPr>
        <w:pStyle w:val="Titre2"/>
      </w:pPr>
      <w:bookmarkStart w:id="31" w:name="_Toc360458898"/>
      <w:r>
        <w:t>Détail des hypothèses de calcul du coût d’une interdiction du glyphosate</w:t>
      </w:r>
      <w:r w:rsidR="00111153">
        <w:t xml:space="preserve"> (source : Arvalis)</w:t>
      </w:r>
      <w:bookmarkEnd w:id="31"/>
    </w:p>
    <w:p w14:paraId="24A7572B" w14:textId="1C71E32F" w:rsidR="000F42FB" w:rsidRPr="00D25B4F" w:rsidRDefault="000F42FB" w:rsidP="00D25B4F">
      <w:r>
        <w:rPr>
          <w:noProof/>
          <w:lang w:eastAsia="fr-FR"/>
        </w:rPr>
        <w:drawing>
          <wp:inline distT="0" distB="0" distL="0" distR="0" wp14:anchorId="7C4E1DDE" wp14:editId="6B0791D1">
            <wp:extent cx="5393690" cy="2363470"/>
            <wp:effectExtent l="0" t="0" r="0" b="0"/>
            <wp:docPr id="4" name="Picture 4" descr="Macintosh HD:Users:olivierbabeau:Library:Mobile Documents:com~apple~CloudDocs:Concorde:Phytosanitaire:Tableaux arvalis:hypothèses de cal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livierbabeau:Library:Mobile Documents:com~apple~CloudDocs:Concorde:Phytosanitaire:Tableaux arvalis:hypothèses de calcu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3690" cy="2363470"/>
                    </a:xfrm>
                    <a:prstGeom prst="rect">
                      <a:avLst/>
                    </a:prstGeom>
                    <a:noFill/>
                    <a:ln>
                      <a:noFill/>
                    </a:ln>
                  </pic:spPr>
                </pic:pic>
              </a:graphicData>
            </a:graphic>
          </wp:inline>
        </w:drawing>
      </w:r>
    </w:p>
    <w:sectPr w:rsidR="000F42FB" w:rsidRPr="00D25B4F" w:rsidSect="00F066E0">
      <w:footerReference w:type="even" r:id="rId12"/>
      <w:footerReference w:type="default" r:id="rId13"/>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2076F" w14:textId="77777777" w:rsidR="00634DAB" w:rsidRDefault="00634DAB" w:rsidP="00F63E66">
      <w:r>
        <w:separator/>
      </w:r>
    </w:p>
  </w:endnote>
  <w:endnote w:type="continuationSeparator" w:id="0">
    <w:p w14:paraId="29D1B06A" w14:textId="77777777" w:rsidR="00634DAB" w:rsidRDefault="00634DAB" w:rsidP="00F6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961C" w14:textId="77777777" w:rsidR="0005322B" w:rsidRDefault="0005322B" w:rsidP="00577A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D9BBA5" w14:textId="77777777" w:rsidR="0005322B" w:rsidRDefault="0005322B" w:rsidP="00053FB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DDD2" w14:textId="77777777" w:rsidR="0005322B" w:rsidRDefault="0005322B" w:rsidP="00577A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0963">
      <w:rPr>
        <w:rStyle w:val="Numrodepage"/>
        <w:noProof/>
      </w:rPr>
      <w:t>1</w:t>
    </w:r>
    <w:r>
      <w:rPr>
        <w:rStyle w:val="Numrodepage"/>
      </w:rPr>
      <w:fldChar w:fldCharType="end"/>
    </w:r>
  </w:p>
  <w:p w14:paraId="32F79BB3" w14:textId="1BF070AF" w:rsidR="0005322B" w:rsidRPr="00416D07" w:rsidRDefault="0005322B" w:rsidP="00416D07">
    <w:pPr>
      <w:pStyle w:val="Pieddepage"/>
      <w:ind w:right="360"/>
      <w:jc w:val="center"/>
      <w:rPr>
        <w:i/>
        <w:sz w:val="20"/>
      </w:rPr>
    </w:pPr>
    <w:r w:rsidRPr="00416D07">
      <w:rPr>
        <w:i/>
        <w:sz w:val="20"/>
      </w:rPr>
      <w:t>Document de travail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5F892" w14:textId="77777777" w:rsidR="00634DAB" w:rsidRDefault="00634DAB" w:rsidP="00F63E66">
      <w:r>
        <w:separator/>
      </w:r>
    </w:p>
  </w:footnote>
  <w:footnote w:type="continuationSeparator" w:id="0">
    <w:p w14:paraId="74EDA5D4" w14:textId="77777777" w:rsidR="00634DAB" w:rsidRDefault="00634DAB" w:rsidP="00F63E66">
      <w:r>
        <w:continuationSeparator/>
      </w:r>
    </w:p>
  </w:footnote>
  <w:footnote w:id="1">
    <w:p w14:paraId="68D4FDD5" w14:textId="74328D05" w:rsidR="0005322B" w:rsidRPr="00475152" w:rsidRDefault="0005322B">
      <w:pPr>
        <w:pStyle w:val="Notedebasdepage"/>
        <w:rPr>
          <w:sz w:val="20"/>
        </w:rPr>
      </w:pPr>
      <w:r w:rsidRPr="00475152">
        <w:rPr>
          <w:rStyle w:val="Appelnotedebasdep"/>
          <w:sz w:val="20"/>
        </w:rPr>
        <w:footnoteRef/>
      </w:r>
      <w:r w:rsidRPr="00475152">
        <w:rPr>
          <w:sz w:val="20"/>
        </w:rPr>
        <w:t xml:space="preserve"> Elle s’inscrit dans le prolongement </w:t>
      </w:r>
      <w:r>
        <w:rPr>
          <w:sz w:val="20"/>
        </w:rPr>
        <w:t>d’</w:t>
      </w:r>
      <w:r w:rsidRPr="00475152">
        <w:rPr>
          <w:sz w:val="20"/>
        </w:rPr>
        <w:t>études publiées par Concorde : « Principe de précaution : oser le risque », mars 2015, et « Qui veut tuer l’agriculture française », mai 2016</w:t>
      </w:r>
    </w:p>
  </w:footnote>
  <w:footnote w:id="2">
    <w:p w14:paraId="02BEC5C1" w14:textId="27AB3076" w:rsidR="0005322B" w:rsidRPr="009723BD" w:rsidRDefault="0005322B" w:rsidP="009723BD">
      <w:pPr>
        <w:rPr>
          <w:rFonts w:ascii="Corbel" w:hAnsi="Corbel"/>
        </w:rPr>
      </w:pPr>
      <w:r w:rsidRPr="009723BD">
        <w:rPr>
          <w:rStyle w:val="Appelnotedebasdep"/>
          <w:sz w:val="20"/>
        </w:rPr>
        <w:footnoteRef/>
      </w:r>
      <w:r w:rsidRPr="009723BD">
        <w:rPr>
          <w:sz w:val="20"/>
        </w:rPr>
        <w:t xml:space="preserve"> </w:t>
      </w:r>
      <w:r>
        <w:rPr>
          <w:rFonts w:ascii="Corbel" w:hAnsi="Corbel"/>
          <w:sz w:val="20"/>
        </w:rPr>
        <w:t>Imaginons par exemple qu’</w:t>
      </w:r>
      <w:r w:rsidRPr="009723BD">
        <w:rPr>
          <w:rFonts w:ascii="Corbel" w:hAnsi="Corbel"/>
          <w:sz w:val="20"/>
        </w:rPr>
        <w:t>un produit</w:t>
      </w:r>
      <w:r>
        <w:rPr>
          <w:rFonts w:ascii="Corbel" w:hAnsi="Corbel"/>
          <w:sz w:val="20"/>
        </w:rPr>
        <w:t xml:space="preserve"> a été autorisé sur le pommier pour enrayer une attaque particulière et qu’</w:t>
      </w:r>
      <w:r w:rsidRPr="009723BD">
        <w:rPr>
          <w:rFonts w:ascii="Corbel" w:hAnsi="Corbel"/>
          <w:sz w:val="20"/>
        </w:rPr>
        <w:t xml:space="preserve">on se rend compte que le poirier est touché également, </w:t>
      </w:r>
      <w:r>
        <w:rPr>
          <w:rFonts w:ascii="Corbel" w:hAnsi="Corbel"/>
          <w:sz w:val="20"/>
        </w:rPr>
        <w:t>la</w:t>
      </w:r>
      <w:r w:rsidRPr="009723BD">
        <w:rPr>
          <w:rFonts w:ascii="Corbel" w:hAnsi="Corbel"/>
          <w:sz w:val="20"/>
        </w:rPr>
        <w:t xml:space="preserve"> dérogation exceptionnelle </w:t>
      </w:r>
      <w:r>
        <w:rPr>
          <w:rFonts w:ascii="Corbel" w:hAnsi="Corbel"/>
          <w:sz w:val="20"/>
        </w:rPr>
        <w:t>permet que l’usage du</w:t>
      </w:r>
      <w:r w:rsidRPr="009723BD">
        <w:rPr>
          <w:rFonts w:ascii="Corbel" w:hAnsi="Corbel"/>
          <w:sz w:val="20"/>
        </w:rPr>
        <w:t xml:space="preserve"> produit soit étendu au poirier.</w:t>
      </w:r>
    </w:p>
  </w:footnote>
  <w:footnote w:id="3">
    <w:p w14:paraId="3A080D32" w14:textId="0AA8A5C0" w:rsidR="0005322B" w:rsidRPr="00E46948" w:rsidRDefault="0005322B">
      <w:pPr>
        <w:pStyle w:val="Notedebasdepage"/>
        <w:rPr>
          <w:sz w:val="20"/>
        </w:rPr>
      </w:pPr>
      <w:r w:rsidRPr="00E46948">
        <w:rPr>
          <w:rStyle w:val="Appelnotedebasdep"/>
          <w:sz w:val="20"/>
        </w:rPr>
        <w:footnoteRef/>
      </w:r>
      <w:r w:rsidRPr="00E46948">
        <w:rPr>
          <w:sz w:val="20"/>
        </w:rPr>
        <w:t xml:space="preserve"> Glyphosate : mise à jour du profil toxicologique par l’EFSA, 12 novembre 2015.</w:t>
      </w:r>
    </w:p>
  </w:footnote>
  <w:footnote w:id="4">
    <w:p w14:paraId="58879F2E" w14:textId="77777777" w:rsidR="0005322B" w:rsidRPr="00352D33" w:rsidRDefault="0005322B" w:rsidP="00DD1A7B">
      <w:pPr>
        <w:pStyle w:val="Notedebasdepage"/>
        <w:rPr>
          <w:sz w:val="20"/>
        </w:rPr>
      </w:pPr>
      <w:r w:rsidRPr="00352D33">
        <w:rPr>
          <w:rStyle w:val="Appelnotedebasdep"/>
          <w:sz w:val="20"/>
        </w:rPr>
        <w:footnoteRef/>
      </w:r>
      <w:r w:rsidRPr="00352D33">
        <w:rPr>
          <w:sz w:val="20"/>
        </w:rPr>
        <w:t xml:space="preserve"> Mais distincte de l’OMS, contrairement à ce qui a pu parfois être écrit.</w:t>
      </w:r>
    </w:p>
  </w:footnote>
  <w:footnote w:id="5">
    <w:p w14:paraId="3EDA70CB" w14:textId="20084749" w:rsidR="0005322B" w:rsidRDefault="0005322B">
      <w:pPr>
        <w:pStyle w:val="Notedebasdepage"/>
      </w:pPr>
      <w:r w:rsidRPr="00DD1A7B">
        <w:rPr>
          <w:rStyle w:val="Appelnotedebasdep"/>
          <w:sz w:val="20"/>
        </w:rPr>
        <w:footnoteRef/>
      </w:r>
      <w:r w:rsidRPr="00DD1A7B">
        <w:rPr>
          <w:sz w:val="20"/>
        </w:rPr>
        <w:t xml:space="preserve"> Un </w:t>
      </w:r>
      <w:r w:rsidRPr="00DD1A7B">
        <w:rPr>
          <w:b/>
          <w:sz w:val="20"/>
        </w:rPr>
        <w:t>danger</w:t>
      </w:r>
      <w:r w:rsidRPr="00DD1A7B">
        <w:rPr>
          <w:sz w:val="20"/>
        </w:rPr>
        <w:t xml:space="preserve"> est considéré dans l’absolu. Par exemple le white spirit est dangereux, puisque son ingestion peut être fatale En revanche, le </w:t>
      </w:r>
      <w:r w:rsidRPr="00DD1A7B">
        <w:rPr>
          <w:b/>
          <w:sz w:val="20"/>
        </w:rPr>
        <w:t>risque</w:t>
      </w:r>
      <w:r w:rsidRPr="00DD1A7B">
        <w:rPr>
          <w:sz w:val="20"/>
        </w:rPr>
        <w:t xml:space="preserve"> qu’il représente est faible, s’il est conditionné dans des bouteilles spéciales au bouchon empêchant l’ouverture par des enfants. Le risque, autrement dit, tient compte de l’exposition.</w:t>
      </w:r>
    </w:p>
  </w:footnote>
  <w:footnote w:id="6">
    <w:p w14:paraId="4A41832C" w14:textId="59A53F25" w:rsidR="0005322B" w:rsidRPr="00E351FA" w:rsidRDefault="0005322B" w:rsidP="00E351FA">
      <w:pPr>
        <w:pStyle w:val="Notedebasdepage"/>
        <w:rPr>
          <w:sz w:val="20"/>
        </w:rPr>
      </w:pPr>
      <w:r w:rsidRPr="00E351FA">
        <w:rPr>
          <w:rStyle w:val="Appelnotedebasdep"/>
          <w:sz w:val="20"/>
        </w:rPr>
        <w:footnoteRef/>
      </w:r>
      <w:r w:rsidRPr="00E351FA">
        <w:rPr>
          <w:sz w:val="20"/>
        </w:rPr>
        <w:t xml:space="preserve"> </w:t>
      </w:r>
      <w:hyperlink r:id="rId1" w:history="1">
        <w:r w:rsidRPr="00E351FA">
          <w:rPr>
            <w:rStyle w:val="Lienhypertexte"/>
            <w:sz w:val="20"/>
          </w:rPr>
          <w:t>http://www.reuters.com/investigates/special-report/glyphosate-cancer-data/</w:t>
        </w:r>
      </w:hyperlink>
    </w:p>
  </w:footnote>
  <w:footnote w:id="7">
    <w:p w14:paraId="485CF9B1" w14:textId="1E44A2EF" w:rsidR="0005322B" w:rsidRPr="00352D33" w:rsidRDefault="0005322B">
      <w:pPr>
        <w:pStyle w:val="Notedebasdepage"/>
        <w:rPr>
          <w:sz w:val="20"/>
        </w:rPr>
      </w:pPr>
      <w:r w:rsidRPr="00352D33">
        <w:rPr>
          <w:rStyle w:val="Appelnotedebasdep"/>
          <w:sz w:val="20"/>
        </w:rPr>
        <w:footnoteRef/>
      </w:r>
      <w:r w:rsidRPr="00352D33">
        <w:rPr>
          <w:sz w:val="20"/>
        </w:rPr>
        <w:t xml:space="preserve"> </w:t>
      </w:r>
      <w:r w:rsidRPr="00352D33">
        <w:rPr>
          <w:rFonts w:ascii="Corbel" w:hAnsi="Corbel"/>
          <w:sz w:val="20"/>
        </w:rPr>
        <w:t>L’approbation communautaire s’est terminée le 30 juin 2016.</w:t>
      </w:r>
    </w:p>
  </w:footnote>
  <w:footnote w:id="8">
    <w:p w14:paraId="481FFE5A" w14:textId="3244845C" w:rsidR="0005322B" w:rsidRDefault="0005322B">
      <w:pPr>
        <w:pStyle w:val="Notedebasdepage"/>
      </w:pPr>
      <w:r w:rsidRPr="00670EDA">
        <w:rPr>
          <w:rStyle w:val="Appelnotedebasdep"/>
          <w:sz w:val="20"/>
        </w:rPr>
        <w:footnoteRef/>
      </w:r>
      <w:r w:rsidRPr="00670EDA">
        <w:rPr>
          <w:sz w:val="20"/>
        </w:rPr>
        <w:t xml:space="preserve"> Selon l’étude Envilys de 2012</w:t>
      </w:r>
      <w:r w:rsidR="004E5EDD">
        <w:rPr>
          <w:sz w:val="20"/>
        </w:rPr>
        <w:t xml:space="preserve"> (« Etude socio-économique de l’utilisation du glyphosate à l’échelle des exploitations agricoles »)</w:t>
      </w:r>
      <w:r w:rsidRPr="00670EDA">
        <w:rPr>
          <w:sz w:val="20"/>
        </w:rPr>
        <w:t>, le désherbage mécanique serait trois fois plus consommateur de temps, ce qui représenterait un surcoût de main d’œuvre de l’ordre de 40 à 80 € par hectare cultivé.</w:t>
      </w:r>
    </w:p>
  </w:footnote>
  <w:footnote w:id="9">
    <w:p w14:paraId="1F6D718A" w14:textId="1FB09D87" w:rsidR="00A07706" w:rsidRDefault="00A07706" w:rsidP="00A07706">
      <w:r>
        <w:rPr>
          <w:rStyle w:val="Appelnotedebasdep"/>
        </w:rPr>
        <w:footnoteRef/>
      </w:r>
      <w:r>
        <w:t xml:space="preserve"> La sharka ou plumpox virus est une maladie virale des prunus dont le vecteur est la piqûre d’insecte sur les feuilles des arbres. C’est un organisme nuisible à lutte obligatoire, qui oblige à détruire l’ensemble des vergers contaminés</w:t>
      </w:r>
    </w:p>
  </w:footnote>
  <w:footnote w:id="10">
    <w:p w14:paraId="11EDF5EE" w14:textId="22961485" w:rsidR="0005322B" w:rsidRPr="00352D33" w:rsidRDefault="0005322B">
      <w:pPr>
        <w:pStyle w:val="Notedebasdepage"/>
        <w:rPr>
          <w:sz w:val="20"/>
        </w:rPr>
      </w:pPr>
      <w:r w:rsidRPr="00352D33">
        <w:rPr>
          <w:rStyle w:val="Appelnotedebasdep"/>
          <w:sz w:val="20"/>
        </w:rPr>
        <w:footnoteRef/>
      </w:r>
      <w:r w:rsidRPr="00352D33">
        <w:rPr>
          <w:sz w:val="20"/>
        </w:rPr>
        <w:t xml:space="preserve"> Union pour la Protection des Plantes.</w:t>
      </w:r>
    </w:p>
  </w:footnote>
  <w:footnote w:id="11">
    <w:p w14:paraId="77EDFA02" w14:textId="49131958" w:rsidR="0005322B" w:rsidRPr="00C142EE" w:rsidRDefault="0005322B" w:rsidP="00C142EE">
      <w:pPr>
        <w:ind w:firstLine="0"/>
        <w:rPr>
          <w:rFonts w:eastAsia="Times New Roman" w:cs="Times New Roman"/>
        </w:rPr>
      </w:pPr>
      <w:r>
        <w:rPr>
          <w:rStyle w:val="Appelnotedebasdep"/>
        </w:rPr>
        <w:footnoteRef/>
      </w:r>
      <w:r>
        <w:t xml:space="preserve"> </w:t>
      </w:r>
      <w:r w:rsidRPr="00C142EE">
        <w:rPr>
          <w:rFonts w:eastAsia="Times New Roman" w:cs="Times New Roman"/>
          <w:i/>
          <w:sz w:val="20"/>
        </w:rPr>
        <w:t>« Lorsque la réalisation d'un dommage, bien qu'incertaine en l'état des connaissances scientifiques, pourrait affecter de manière grave et irréversible l'environnement, les autorités publiques veilleront, par application du principe de précaution, et dans leurs domaines d'attribution, à la mise en œuvre de procédures d'évaluation des risques et à l'adoption de mesures provisoires et proportionnées afin de parer à la réalisation du dommage. »</w:t>
      </w:r>
      <w:r>
        <w:rPr>
          <w:rFonts w:eastAsia="Times New Roman" w:cs="Times New Roman"/>
          <w:i/>
          <w:sz w:val="20"/>
        </w:rPr>
        <w:t xml:space="preserve"> (art.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7E1"/>
    <w:multiLevelType w:val="hybridMultilevel"/>
    <w:tmpl w:val="41EEB1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AC0A4B"/>
    <w:multiLevelType w:val="hybridMultilevel"/>
    <w:tmpl w:val="F138A3AA"/>
    <w:lvl w:ilvl="0" w:tplc="F2F4294E">
      <w:start w:val="1"/>
      <w:numFmt w:val="upperLetter"/>
      <w:pStyle w:val="Titr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A0734"/>
    <w:multiLevelType w:val="hybridMultilevel"/>
    <w:tmpl w:val="F20C41F8"/>
    <w:lvl w:ilvl="0" w:tplc="D778C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037E5"/>
    <w:multiLevelType w:val="hybridMultilevel"/>
    <w:tmpl w:val="1EECB58C"/>
    <w:lvl w:ilvl="0" w:tplc="F384CABC">
      <w:start w:val="1"/>
      <w:numFmt w:val="lowerRoman"/>
      <w:pStyle w:val="Titre5"/>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15B09"/>
    <w:multiLevelType w:val="hybridMultilevel"/>
    <w:tmpl w:val="B086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B0142"/>
    <w:multiLevelType w:val="hybridMultilevel"/>
    <w:tmpl w:val="9B36D732"/>
    <w:lvl w:ilvl="0" w:tplc="809A19CA">
      <w:start w:val="5"/>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117D5"/>
    <w:multiLevelType w:val="hybridMultilevel"/>
    <w:tmpl w:val="19AADDF0"/>
    <w:lvl w:ilvl="0" w:tplc="809A19CA">
      <w:start w:val="5"/>
      <w:numFmt w:val="bullet"/>
      <w:lvlText w:val=""/>
      <w:lvlJc w:val="left"/>
      <w:pPr>
        <w:ind w:left="1004" w:hanging="360"/>
      </w:pPr>
      <w:rPr>
        <w:rFonts w:ascii="Wingdings" w:eastAsiaTheme="minorEastAsia" w:hAnsi="Wingdings" w:cstheme="minorBid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35372B9"/>
    <w:multiLevelType w:val="hybridMultilevel"/>
    <w:tmpl w:val="F1CE0FFC"/>
    <w:lvl w:ilvl="0" w:tplc="6986A860">
      <w:start w:val="5"/>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625194"/>
    <w:multiLevelType w:val="hybridMultilevel"/>
    <w:tmpl w:val="CE983052"/>
    <w:lvl w:ilvl="0" w:tplc="4BC2D5C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87014F"/>
    <w:multiLevelType w:val="multilevel"/>
    <w:tmpl w:val="A6C0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A3711"/>
    <w:multiLevelType w:val="hybridMultilevel"/>
    <w:tmpl w:val="CABE5472"/>
    <w:lvl w:ilvl="0" w:tplc="C802A0E8">
      <w:start w:val="1"/>
      <w:numFmt w:val="decimal"/>
      <w:pStyle w:val="Titre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13DB8"/>
    <w:multiLevelType w:val="hybridMultilevel"/>
    <w:tmpl w:val="A656A0F6"/>
    <w:lvl w:ilvl="0" w:tplc="96281C9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43805185"/>
    <w:multiLevelType w:val="hybridMultilevel"/>
    <w:tmpl w:val="66D8D5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4E96189"/>
    <w:multiLevelType w:val="hybridMultilevel"/>
    <w:tmpl w:val="213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74D87"/>
    <w:multiLevelType w:val="hybridMultilevel"/>
    <w:tmpl w:val="FC90D4A0"/>
    <w:lvl w:ilvl="0" w:tplc="4978D226">
      <w:start w:val="1"/>
      <w:numFmt w:val="upperRoman"/>
      <w:pStyle w:val="Titre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A263D"/>
    <w:multiLevelType w:val="hybridMultilevel"/>
    <w:tmpl w:val="709452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3CC0A02"/>
    <w:multiLevelType w:val="hybridMultilevel"/>
    <w:tmpl w:val="3F5065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71D2DED"/>
    <w:multiLevelType w:val="hybridMultilevel"/>
    <w:tmpl w:val="4E0CB5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5DD13BB"/>
    <w:multiLevelType w:val="hybridMultilevel"/>
    <w:tmpl w:val="BA1AF1C4"/>
    <w:lvl w:ilvl="0" w:tplc="C35AFB28">
      <w:start w:val="1"/>
      <w:numFmt w:val="lowerLetter"/>
      <w:pStyle w:val="Titr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3"/>
  </w:num>
  <w:num w:numId="5">
    <w:abstractNumId w:val="18"/>
  </w:num>
  <w:num w:numId="6">
    <w:abstractNumId w:val="2"/>
  </w:num>
  <w:num w:numId="7">
    <w:abstractNumId w:val="13"/>
  </w:num>
  <w:num w:numId="8">
    <w:abstractNumId w:val="4"/>
  </w:num>
  <w:num w:numId="9">
    <w:abstractNumId w:val="8"/>
  </w:num>
  <w:num w:numId="10">
    <w:abstractNumId w:val="10"/>
    <w:lvlOverride w:ilvl="0">
      <w:startOverride w:val="1"/>
    </w:lvlOverride>
  </w:num>
  <w:num w:numId="11">
    <w:abstractNumId w:val="1"/>
    <w:lvlOverride w:ilvl="0">
      <w:startOverride w:val="1"/>
    </w:lvlOverride>
  </w:num>
  <w:num w:numId="12">
    <w:abstractNumId w:val="7"/>
  </w:num>
  <w:num w:numId="13">
    <w:abstractNumId w:val="5"/>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num>
  <w:num w:numId="19">
    <w:abstractNumId w:val="10"/>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2"/>
  </w:num>
  <w:num w:numId="23">
    <w:abstractNumId w:val="9"/>
  </w:num>
  <w:num w:numId="24">
    <w:abstractNumId w:val="1"/>
    <w:lvlOverride w:ilvl="0">
      <w:startOverride w:val="1"/>
    </w:lvlOverride>
  </w:num>
  <w:num w:numId="25">
    <w:abstractNumId w:val="0"/>
  </w:num>
  <w:num w:numId="26">
    <w:abstractNumId w:val="17"/>
  </w:num>
  <w:num w:numId="27">
    <w:abstractNumId w:val="6"/>
  </w:num>
  <w:num w:numId="28">
    <w:abstractNumId w:val="16"/>
  </w:num>
  <w:num w:numId="29">
    <w:abstractNumId w:val="15"/>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63"/>
    <w:rsid w:val="00000595"/>
    <w:rsid w:val="00002748"/>
    <w:rsid w:val="000040CF"/>
    <w:rsid w:val="0000415E"/>
    <w:rsid w:val="00005DB5"/>
    <w:rsid w:val="00013582"/>
    <w:rsid w:val="000136EB"/>
    <w:rsid w:val="00015981"/>
    <w:rsid w:val="000170F5"/>
    <w:rsid w:val="00021F0D"/>
    <w:rsid w:val="000238D4"/>
    <w:rsid w:val="00025914"/>
    <w:rsid w:val="000362CB"/>
    <w:rsid w:val="00036CB6"/>
    <w:rsid w:val="00037520"/>
    <w:rsid w:val="00044160"/>
    <w:rsid w:val="00044251"/>
    <w:rsid w:val="000477FD"/>
    <w:rsid w:val="0005322B"/>
    <w:rsid w:val="00053FBE"/>
    <w:rsid w:val="00055934"/>
    <w:rsid w:val="00055A7A"/>
    <w:rsid w:val="0005617F"/>
    <w:rsid w:val="00057266"/>
    <w:rsid w:val="000603A4"/>
    <w:rsid w:val="00061113"/>
    <w:rsid w:val="000645E6"/>
    <w:rsid w:val="00067733"/>
    <w:rsid w:val="000752CA"/>
    <w:rsid w:val="00076ED7"/>
    <w:rsid w:val="00082570"/>
    <w:rsid w:val="00084AB3"/>
    <w:rsid w:val="00086EE3"/>
    <w:rsid w:val="00090ED1"/>
    <w:rsid w:val="000938C9"/>
    <w:rsid w:val="0009421A"/>
    <w:rsid w:val="0009488F"/>
    <w:rsid w:val="0009558C"/>
    <w:rsid w:val="000A36CD"/>
    <w:rsid w:val="000A634F"/>
    <w:rsid w:val="000A727F"/>
    <w:rsid w:val="000B0C5F"/>
    <w:rsid w:val="000B1BA2"/>
    <w:rsid w:val="000B316E"/>
    <w:rsid w:val="000C6760"/>
    <w:rsid w:val="000D39BD"/>
    <w:rsid w:val="000D4210"/>
    <w:rsid w:val="000D6A3E"/>
    <w:rsid w:val="000D6AA7"/>
    <w:rsid w:val="000E19D3"/>
    <w:rsid w:val="000E4597"/>
    <w:rsid w:val="000E4D75"/>
    <w:rsid w:val="000E59E9"/>
    <w:rsid w:val="000E7226"/>
    <w:rsid w:val="000F08D0"/>
    <w:rsid w:val="000F098E"/>
    <w:rsid w:val="000F23FF"/>
    <w:rsid w:val="000F39F5"/>
    <w:rsid w:val="000F42FB"/>
    <w:rsid w:val="000F5585"/>
    <w:rsid w:val="000F7632"/>
    <w:rsid w:val="000F7924"/>
    <w:rsid w:val="0010047B"/>
    <w:rsid w:val="001008B7"/>
    <w:rsid w:val="00104A53"/>
    <w:rsid w:val="00111153"/>
    <w:rsid w:val="00111BCB"/>
    <w:rsid w:val="00112BC1"/>
    <w:rsid w:val="00115F5E"/>
    <w:rsid w:val="0011699B"/>
    <w:rsid w:val="00117F3F"/>
    <w:rsid w:val="0012458C"/>
    <w:rsid w:val="00130373"/>
    <w:rsid w:val="00130B6B"/>
    <w:rsid w:val="00134A5E"/>
    <w:rsid w:val="00137393"/>
    <w:rsid w:val="00141DA0"/>
    <w:rsid w:val="00142515"/>
    <w:rsid w:val="0014605B"/>
    <w:rsid w:val="001468E6"/>
    <w:rsid w:val="00146A58"/>
    <w:rsid w:val="0015273D"/>
    <w:rsid w:val="00155B4C"/>
    <w:rsid w:val="00156790"/>
    <w:rsid w:val="00156796"/>
    <w:rsid w:val="00157506"/>
    <w:rsid w:val="0016620E"/>
    <w:rsid w:val="00167A94"/>
    <w:rsid w:val="00170C12"/>
    <w:rsid w:val="00170C2B"/>
    <w:rsid w:val="0018044A"/>
    <w:rsid w:val="00180994"/>
    <w:rsid w:val="00181022"/>
    <w:rsid w:val="001830CD"/>
    <w:rsid w:val="0018423B"/>
    <w:rsid w:val="00186971"/>
    <w:rsid w:val="001870F1"/>
    <w:rsid w:val="001902DB"/>
    <w:rsid w:val="0019245B"/>
    <w:rsid w:val="00194619"/>
    <w:rsid w:val="00196378"/>
    <w:rsid w:val="00196821"/>
    <w:rsid w:val="001A0CF1"/>
    <w:rsid w:val="001A1CE7"/>
    <w:rsid w:val="001B05F2"/>
    <w:rsid w:val="001B10AA"/>
    <w:rsid w:val="001B183B"/>
    <w:rsid w:val="001B1F57"/>
    <w:rsid w:val="001B2313"/>
    <w:rsid w:val="001B2B9F"/>
    <w:rsid w:val="001B35AA"/>
    <w:rsid w:val="001C18C0"/>
    <w:rsid w:val="001C2D99"/>
    <w:rsid w:val="001C3450"/>
    <w:rsid w:val="001C6216"/>
    <w:rsid w:val="001D03A8"/>
    <w:rsid w:val="001D206F"/>
    <w:rsid w:val="001D23BC"/>
    <w:rsid w:val="001D476A"/>
    <w:rsid w:val="001D7D63"/>
    <w:rsid w:val="001E1C31"/>
    <w:rsid w:val="001E3A19"/>
    <w:rsid w:val="001E4392"/>
    <w:rsid w:val="001E536D"/>
    <w:rsid w:val="001E5E80"/>
    <w:rsid w:val="001E5F6B"/>
    <w:rsid w:val="001E605E"/>
    <w:rsid w:val="001F10ED"/>
    <w:rsid w:val="001F225B"/>
    <w:rsid w:val="001F2DDC"/>
    <w:rsid w:val="001F325F"/>
    <w:rsid w:val="001F5EE1"/>
    <w:rsid w:val="001F68A0"/>
    <w:rsid w:val="001F7D70"/>
    <w:rsid w:val="00200896"/>
    <w:rsid w:val="002009A3"/>
    <w:rsid w:val="00202161"/>
    <w:rsid w:val="002040B1"/>
    <w:rsid w:val="00205FAF"/>
    <w:rsid w:val="00215746"/>
    <w:rsid w:val="00220640"/>
    <w:rsid w:val="00223D6B"/>
    <w:rsid w:val="0022497E"/>
    <w:rsid w:val="00230A93"/>
    <w:rsid w:val="00230CF8"/>
    <w:rsid w:val="002321C4"/>
    <w:rsid w:val="0023660B"/>
    <w:rsid w:val="002426BD"/>
    <w:rsid w:val="00243D68"/>
    <w:rsid w:val="002445AD"/>
    <w:rsid w:val="0024624D"/>
    <w:rsid w:val="00246716"/>
    <w:rsid w:val="00247339"/>
    <w:rsid w:val="00247A87"/>
    <w:rsid w:val="0025023C"/>
    <w:rsid w:val="00250A54"/>
    <w:rsid w:val="0025498E"/>
    <w:rsid w:val="00260B9B"/>
    <w:rsid w:val="00260BCF"/>
    <w:rsid w:val="002664CC"/>
    <w:rsid w:val="00267672"/>
    <w:rsid w:val="0027295C"/>
    <w:rsid w:val="00272A11"/>
    <w:rsid w:val="00282B92"/>
    <w:rsid w:val="00283F6F"/>
    <w:rsid w:val="002862F9"/>
    <w:rsid w:val="0029009C"/>
    <w:rsid w:val="0029037F"/>
    <w:rsid w:val="00291376"/>
    <w:rsid w:val="0029300D"/>
    <w:rsid w:val="00294079"/>
    <w:rsid w:val="002973E6"/>
    <w:rsid w:val="002A13D5"/>
    <w:rsid w:val="002A3B9A"/>
    <w:rsid w:val="002A3C2B"/>
    <w:rsid w:val="002A50CF"/>
    <w:rsid w:val="002B050A"/>
    <w:rsid w:val="002B1D10"/>
    <w:rsid w:val="002B1F2F"/>
    <w:rsid w:val="002B6177"/>
    <w:rsid w:val="002B7D77"/>
    <w:rsid w:val="002C2ABA"/>
    <w:rsid w:val="002C5A9F"/>
    <w:rsid w:val="002C6C12"/>
    <w:rsid w:val="002C72F3"/>
    <w:rsid w:val="002D26A0"/>
    <w:rsid w:val="002D4F2D"/>
    <w:rsid w:val="002D7D7A"/>
    <w:rsid w:val="002E0153"/>
    <w:rsid w:val="002E5DE3"/>
    <w:rsid w:val="002E6A9C"/>
    <w:rsid w:val="002E7E74"/>
    <w:rsid w:val="002F2CE8"/>
    <w:rsid w:val="002F2E80"/>
    <w:rsid w:val="002F5090"/>
    <w:rsid w:val="00300AAB"/>
    <w:rsid w:val="00305087"/>
    <w:rsid w:val="003067B8"/>
    <w:rsid w:val="0030688C"/>
    <w:rsid w:val="003078A5"/>
    <w:rsid w:val="00310963"/>
    <w:rsid w:val="00311775"/>
    <w:rsid w:val="00312760"/>
    <w:rsid w:val="003127A9"/>
    <w:rsid w:val="0031493B"/>
    <w:rsid w:val="00315105"/>
    <w:rsid w:val="00316964"/>
    <w:rsid w:val="00316AC7"/>
    <w:rsid w:val="00317C25"/>
    <w:rsid w:val="00322009"/>
    <w:rsid w:val="00322A23"/>
    <w:rsid w:val="003234E0"/>
    <w:rsid w:val="00325DC1"/>
    <w:rsid w:val="00325DE0"/>
    <w:rsid w:val="003272FB"/>
    <w:rsid w:val="00327D90"/>
    <w:rsid w:val="00334BA9"/>
    <w:rsid w:val="00341F45"/>
    <w:rsid w:val="003459C2"/>
    <w:rsid w:val="00346ACB"/>
    <w:rsid w:val="00350667"/>
    <w:rsid w:val="00350C3B"/>
    <w:rsid w:val="00352D33"/>
    <w:rsid w:val="00356D4B"/>
    <w:rsid w:val="00360A68"/>
    <w:rsid w:val="00363863"/>
    <w:rsid w:val="00364F9D"/>
    <w:rsid w:val="003659C8"/>
    <w:rsid w:val="00366A1E"/>
    <w:rsid w:val="00367977"/>
    <w:rsid w:val="0037180D"/>
    <w:rsid w:val="00371B07"/>
    <w:rsid w:val="00371E25"/>
    <w:rsid w:val="0037200D"/>
    <w:rsid w:val="00382476"/>
    <w:rsid w:val="0038308D"/>
    <w:rsid w:val="00384301"/>
    <w:rsid w:val="0038691C"/>
    <w:rsid w:val="00390CA5"/>
    <w:rsid w:val="00391D3D"/>
    <w:rsid w:val="003A408A"/>
    <w:rsid w:val="003B0E8E"/>
    <w:rsid w:val="003B11DC"/>
    <w:rsid w:val="003B143C"/>
    <w:rsid w:val="003B443C"/>
    <w:rsid w:val="003C2E97"/>
    <w:rsid w:val="003C334E"/>
    <w:rsid w:val="003C3B35"/>
    <w:rsid w:val="003C4CE2"/>
    <w:rsid w:val="003C61B5"/>
    <w:rsid w:val="003D1128"/>
    <w:rsid w:val="003D2C5A"/>
    <w:rsid w:val="003E6AFB"/>
    <w:rsid w:val="003F1D20"/>
    <w:rsid w:val="003F49C4"/>
    <w:rsid w:val="003F6169"/>
    <w:rsid w:val="003F6EC4"/>
    <w:rsid w:val="003F7861"/>
    <w:rsid w:val="003F7CA7"/>
    <w:rsid w:val="00401943"/>
    <w:rsid w:val="00404E1C"/>
    <w:rsid w:val="00406482"/>
    <w:rsid w:val="004078FC"/>
    <w:rsid w:val="004079EE"/>
    <w:rsid w:val="00410FBA"/>
    <w:rsid w:val="0041208B"/>
    <w:rsid w:val="00412BA2"/>
    <w:rsid w:val="004158A4"/>
    <w:rsid w:val="00416740"/>
    <w:rsid w:val="00416D07"/>
    <w:rsid w:val="00420459"/>
    <w:rsid w:val="004206B4"/>
    <w:rsid w:val="00420BCB"/>
    <w:rsid w:val="00421150"/>
    <w:rsid w:val="00421D68"/>
    <w:rsid w:val="00423E9C"/>
    <w:rsid w:val="00427046"/>
    <w:rsid w:val="00430027"/>
    <w:rsid w:val="004312EC"/>
    <w:rsid w:val="004333C8"/>
    <w:rsid w:val="00434D03"/>
    <w:rsid w:val="00435641"/>
    <w:rsid w:val="00435AF8"/>
    <w:rsid w:val="00437505"/>
    <w:rsid w:val="00437797"/>
    <w:rsid w:val="00443ECA"/>
    <w:rsid w:val="00446213"/>
    <w:rsid w:val="0044661D"/>
    <w:rsid w:val="00451B45"/>
    <w:rsid w:val="00456EA9"/>
    <w:rsid w:val="00457CC1"/>
    <w:rsid w:val="004617BA"/>
    <w:rsid w:val="004631F7"/>
    <w:rsid w:val="00466748"/>
    <w:rsid w:val="00475152"/>
    <w:rsid w:val="00480A7C"/>
    <w:rsid w:val="00483E52"/>
    <w:rsid w:val="00485775"/>
    <w:rsid w:val="004862CD"/>
    <w:rsid w:val="00487AEC"/>
    <w:rsid w:val="00487D2F"/>
    <w:rsid w:val="00491082"/>
    <w:rsid w:val="0049242F"/>
    <w:rsid w:val="00495D44"/>
    <w:rsid w:val="004960B1"/>
    <w:rsid w:val="00497DD4"/>
    <w:rsid w:val="004A120A"/>
    <w:rsid w:val="004A3AFA"/>
    <w:rsid w:val="004A4753"/>
    <w:rsid w:val="004A72D5"/>
    <w:rsid w:val="004B502B"/>
    <w:rsid w:val="004B76DF"/>
    <w:rsid w:val="004C1CE2"/>
    <w:rsid w:val="004C2824"/>
    <w:rsid w:val="004C393D"/>
    <w:rsid w:val="004C4725"/>
    <w:rsid w:val="004C5DCC"/>
    <w:rsid w:val="004D15DA"/>
    <w:rsid w:val="004D386B"/>
    <w:rsid w:val="004D41D0"/>
    <w:rsid w:val="004D4819"/>
    <w:rsid w:val="004D66BE"/>
    <w:rsid w:val="004E5EDD"/>
    <w:rsid w:val="004F0C3C"/>
    <w:rsid w:val="004F16C5"/>
    <w:rsid w:val="004F2356"/>
    <w:rsid w:val="004F2619"/>
    <w:rsid w:val="004F3573"/>
    <w:rsid w:val="005006EA"/>
    <w:rsid w:val="005077E0"/>
    <w:rsid w:val="00514FF1"/>
    <w:rsid w:val="0052257A"/>
    <w:rsid w:val="00522907"/>
    <w:rsid w:val="00525949"/>
    <w:rsid w:val="00527B85"/>
    <w:rsid w:val="0053071A"/>
    <w:rsid w:val="00532897"/>
    <w:rsid w:val="00540E24"/>
    <w:rsid w:val="005414CB"/>
    <w:rsid w:val="00544207"/>
    <w:rsid w:val="00547A82"/>
    <w:rsid w:val="00547FB5"/>
    <w:rsid w:val="00550A4E"/>
    <w:rsid w:val="00555700"/>
    <w:rsid w:val="00555A57"/>
    <w:rsid w:val="00561825"/>
    <w:rsid w:val="005636A4"/>
    <w:rsid w:val="0056441E"/>
    <w:rsid w:val="00565059"/>
    <w:rsid w:val="005650BE"/>
    <w:rsid w:val="00565985"/>
    <w:rsid w:val="00577A89"/>
    <w:rsid w:val="005819FE"/>
    <w:rsid w:val="005848FD"/>
    <w:rsid w:val="005867D0"/>
    <w:rsid w:val="0059079A"/>
    <w:rsid w:val="00591611"/>
    <w:rsid w:val="00595972"/>
    <w:rsid w:val="00597F50"/>
    <w:rsid w:val="00597F66"/>
    <w:rsid w:val="005A0643"/>
    <w:rsid w:val="005A583E"/>
    <w:rsid w:val="005A5A34"/>
    <w:rsid w:val="005A7502"/>
    <w:rsid w:val="005B4DF1"/>
    <w:rsid w:val="005C0634"/>
    <w:rsid w:val="005C2ED5"/>
    <w:rsid w:val="005C5565"/>
    <w:rsid w:val="005C5741"/>
    <w:rsid w:val="005C61F2"/>
    <w:rsid w:val="005D1754"/>
    <w:rsid w:val="005D5530"/>
    <w:rsid w:val="005D56DA"/>
    <w:rsid w:val="005D6F74"/>
    <w:rsid w:val="005E03BD"/>
    <w:rsid w:val="005E4244"/>
    <w:rsid w:val="005E574C"/>
    <w:rsid w:val="005F00A0"/>
    <w:rsid w:val="005F0DD1"/>
    <w:rsid w:val="005F1242"/>
    <w:rsid w:val="005F1A2F"/>
    <w:rsid w:val="005F2109"/>
    <w:rsid w:val="005F5964"/>
    <w:rsid w:val="005F75C5"/>
    <w:rsid w:val="006000A0"/>
    <w:rsid w:val="00602DA7"/>
    <w:rsid w:val="006065D8"/>
    <w:rsid w:val="006068FE"/>
    <w:rsid w:val="00613037"/>
    <w:rsid w:val="006214CF"/>
    <w:rsid w:val="0062232D"/>
    <w:rsid w:val="00623775"/>
    <w:rsid w:val="0062423E"/>
    <w:rsid w:val="006253D8"/>
    <w:rsid w:val="00626CAC"/>
    <w:rsid w:val="00630A43"/>
    <w:rsid w:val="00632835"/>
    <w:rsid w:val="00634DAB"/>
    <w:rsid w:val="006406B9"/>
    <w:rsid w:val="006408D3"/>
    <w:rsid w:val="00641B17"/>
    <w:rsid w:val="00642F14"/>
    <w:rsid w:val="0064736F"/>
    <w:rsid w:val="00647503"/>
    <w:rsid w:val="006512D8"/>
    <w:rsid w:val="006521D7"/>
    <w:rsid w:val="006571C0"/>
    <w:rsid w:val="00660D6D"/>
    <w:rsid w:val="00665A3F"/>
    <w:rsid w:val="00666A83"/>
    <w:rsid w:val="00667232"/>
    <w:rsid w:val="00670EDA"/>
    <w:rsid w:val="006734C4"/>
    <w:rsid w:val="006764FB"/>
    <w:rsid w:val="0069037C"/>
    <w:rsid w:val="006933BC"/>
    <w:rsid w:val="006A4F19"/>
    <w:rsid w:val="006B057F"/>
    <w:rsid w:val="006B06B4"/>
    <w:rsid w:val="006B3975"/>
    <w:rsid w:val="006B4D20"/>
    <w:rsid w:val="006B5803"/>
    <w:rsid w:val="006C09F6"/>
    <w:rsid w:val="006C0FCC"/>
    <w:rsid w:val="006C3740"/>
    <w:rsid w:val="006C3CD6"/>
    <w:rsid w:val="006C435B"/>
    <w:rsid w:val="006C51D9"/>
    <w:rsid w:val="006D1066"/>
    <w:rsid w:val="006D3A07"/>
    <w:rsid w:val="006E0B8B"/>
    <w:rsid w:val="006E265C"/>
    <w:rsid w:val="006E3A17"/>
    <w:rsid w:val="006F1D0C"/>
    <w:rsid w:val="006F21FE"/>
    <w:rsid w:val="006F682E"/>
    <w:rsid w:val="006F7AB5"/>
    <w:rsid w:val="00701E04"/>
    <w:rsid w:val="00707509"/>
    <w:rsid w:val="007077AA"/>
    <w:rsid w:val="00710B2E"/>
    <w:rsid w:val="007124F8"/>
    <w:rsid w:val="0071683A"/>
    <w:rsid w:val="007215F6"/>
    <w:rsid w:val="0072316C"/>
    <w:rsid w:val="00723E74"/>
    <w:rsid w:val="007272C6"/>
    <w:rsid w:val="007275AC"/>
    <w:rsid w:val="007304F7"/>
    <w:rsid w:val="00730680"/>
    <w:rsid w:val="00731754"/>
    <w:rsid w:val="00732E5B"/>
    <w:rsid w:val="007331C6"/>
    <w:rsid w:val="007426E5"/>
    <w:rsid w:val="00743E2B"/>
    <w:rsid w:val="00745618"/>
    <w:rsid w:val="007463D0"/>
    <w:rsid w:val="007471B2"/>
    <w:rsid w:val="007517D8"/>
    <w:rsid w:val="00751D99"/>
    <w:rsid w:val="00751E3C"/>
    <w:rsid w:val="00752685"/>
    <w:rsid w:val="007531F5"/>
    <w:rsid w:val="00755167"/>
    <w:rsid w:val="00772C48"/>
    <w:rsid w:val="00773FAF"/>
    <w:rsid w:val="00774F3F"/>
    <w:rsid w:val="007750C9"/>
    <w:rsid w:val="00782C74"/>
    <w:rsid w:val="00785683"/>
    <w:rsid w:val="00785ECC"/>
    <w:rsid w:val="007936BB"/>
    <w:rsid w:val="00793DE4"/>
    <w:rsid w:val="00794ABF"/>
    <w:rsid w:val="00797520"/>
    <w:rsid w:val="007A0531"/>
    <w:rsid w:val="007A20DE"/>
    <w:rsid w:val="007A2E0A"/>
    <w:rsid w:val="007A4356"/>
    <w:rsid w:val="007B2985"/>
    <w:rsid w:val="007B3261"/>
    <w:rsid w:val="007B6BFB"/>
    <w:rsid w:val="007C2C2F"/>
    <w:rsid w:val="007C75BD"/>
    <w:rsid w:val="007D138C"/>
    <w:rsid w:val="007D1691"/>
    <w:rsid w:val="007D2D38"/>
    <w:rsid w:val="007E5A55"/>
    <w:rsid w:val="007F786E"/>
    <w:rsid w:val="0080013B"/>
    <w:rsid w:val="0080426E"/>
    <w:rsid w:val="00804FE8"/>
    <w:rsid w:val="008101DA"/>
    <w:rsid w:val="008105B2"/>
    <w:rsid w:val="00810FBE"/>
    <w:rsid w:val="00815563"/>
    <w:rsid w:val="008165B9"/>
    <w:rsid w:val="0082135E"/>
    <w:rsid w:val="008231BB"/>
    <w:rsid w:val="0082380D"/>
    <w:rsid w:val="008245E9"/>
    <w:rsid w:val="00826C97"/>
    <w:rsid w:val="00831506"/>
    <w:rsid w:val="0083340B"/>
    <w:rsid w:val="008359C3"/>
    <w:rsid w:val="00840F4E"/>
    <w:rsid w:val="00842183"/>
    <w:rsid w:val="0084284B"/>
    <w:rsid w:val="008470AB"/>
    <w:rsid w:val="00853746"/>
    <w:rsid w:val="00854878"/>
    <w:rsid w:val="008616D3"/>
    <w:rsid w:val="008627B7"/>
    <w:rsid w:val="00870D7C"/>
    <w:rsid w:val="008720B4"/>
    <w:rsid w:val="00880734"/>
    <w:rsid w:val="0088629E"/>
    <w:rsid w:val="0088734D"/>
    <w:rsid w:val="00894F1F"/>
    <w:rsid w:val="008970D0"/>
    <w:rsid w:val="008A2448"/>
    <w:rsid w:val="008A4BC1"/>
    <w:rsid w:val="008A62C3"/>
    <w:rsid w:val="008A64EC"/>
    <w:rsid w:val="008A7F97"/>
    <w:rsid w:val="008B6647"/>
    <w:rsid w:val="008B6BEC"/>
    <w:rsid w:val="008B6E54"/>
    <w:rsid w:val="008C0FDA"/>
    <w:rsid w:val="008C1307"/>
    <w:rsid w:val="008C35A9"/>
    <w:rsid w:val="008C4F08"/>
    <w:rsid w:val="008D1B73"/>
    <w:rsid w:val="008D4123"/>
    <w:rsid w:val="008D4B86"/>
    <w:rsid w:val="008D759A"/>
    <w:rsid w:val="008E05BB"/>
    <w:rsid w:val="008E10A0"/>
    <w:rsid w:val="008E1BB4"/>
    <w:rsid w:val="008E7902"/>
    <w:rsid w:val="008F20BF"/>
    <w:rsid w:val="008F3FC0"/>
    <w:rsid w:val="008F4E04"/>
    <w:rsid w:val="008F56ED"/>
    <w:rsid w:val="008F5705"/>
    <w:rsid w:val="008F5E90"/>
    <w:rsid w:val="008F70A4"/>
    <w:rsid w:val="008F7288"/>
    <w:rsid w:val="008F7DD1"/>
    <w:rsid w:val="0090070D"/>
    <w:rsid w:val="009023A4"/>
    <w:rsid w:val="00904720"/>
    <w:rsid w:val="00904AD2"/>
    <w:rsid w:val="00910765"/>
    <w:rsid w:val="00910827"/>
    <w:rsid w:val="00910B36"/>
    <w:rsid w:val="0092080D"/>
    <w:rsid w:val="009214EF"/>
    <w:rsid w:val="00934272"/>
    <w:rsid w:val="00940B4B"/>
    <w:rsid w:val="009420F3"/>
    <w:rsid w:val="00943537"/>
    <w:rsid w:val="009449F8"/>
    <w:rsid w:val="009454F7"/>
    <w:rsid w:val="00945E80"/>
    <w:rsid w:val="009502AA"/>
    <w:rsid w:val="009502C6"/>
    <w:rsid w:val="00951EA5"/>
    <w:rsid w:val="00952627"/>
    <w:rsid w:val="00961626"/>
    <w:rsid w:val="00961922"/>
    <w:rsid w:val="00965491"/>
    <w:rsid w:val="009659CB"/>
    <w:rsid w:val="00967062"/>
    <w:rsid w:val="00970B34"/>
    <w:rsid w:val="0097155F"/>
    <w:rsid w:val="00971C0B"/>
    <w:rsid w:val="009723BD"/>
    <w:rsid w:val="0097443E"/>
    <w:rsid w:val="00981D76"/>
    <w:rsid w:val="00982261"/>
    <w:rsid w:val="00982F84"/>
    <w:rsid w:val="009855D2"/>
    <w:rsid w:val="0098612C"/>
    <w:rsid w:val="00986CE9"/>
    <w:rsid w:val="00990888"/>
    <w:rsid w:val="009948CC"/>
    <w:rsid w:val="00997471"/>
    <w:rsid w:val="009A0511"/>
    <w:rsid w:val="009A1629"/>
    <w:rsid w:val="009A4348"/>
    <w:rsid w:val="009A65D6"/>
    <w:rsid w:val="009B21FD"/>
    <w:rsid w:val="009B2F77"/>
    <w:rsid w:val="009B3AF8"/>
    <w:rsid w:val="009B5FF9"/>
    <w:rsid w:val="009C1111"/>
    <w:rsid w:val="009C1B90"/>
    <w:rsid w:val="009C28B0"/>
    <w:rsid w:val="009C7699"/>
    <w:rsid w:val="009D3832"/>
    <w:rsid w:val="009D5D51"/>
    <w:rsid w:val="009D7445"/>
    <w:rsid w:val="009D7CF5"/>
    <w:rsid w:val="009E0A2D"/>
    <w:rsid w:val="009E3FA4"/>
    <w:rsid w:val="009E5305"/>
    <w:rsid w:val="009E76FC"/>
    <w:rsid w:val="009F793B"/>
    <w:rsid w:val="00A020E1"/>
    <w:rsid w:val="00A04DC7"/>
    <w:rsid w:val="00A06CB2"/>
    <w:rsid w:val="00A07706"/>
    <w:rsid w:val="00A11282"/>
    <w:rsid w:val="00A1128E"/>
    <w:rsid w:val="00A12239"/>
    <w:rsid w:val="00A1329B"/>
    <w:rsid w:val="00A13AEB"/>
    <w:rsid w:val="00A14329"/>
    <w:rsid w:val="00A174CE"/>
    <w:rsid w:val="00A224E5"/>
    <w:rsid w:val="00A255B2"/>
    <w:rsid w:val="00A25C0B"/>
    <w:rsid w:val="00A2709E"/>
    <w:rsid w:val="00A27CBA"/>
    <w:rsid w:val="00A30F42"/>
    <w:rsid w:val="00A315B3"/>
    <w:rsid w:val="00A322D4"/>
    <w:rsid w:val="00A402AF"/>
    <w:rsid w:val="00A40F07"/>
    <w:rsid w:val="00A4309A"/>
    <w:rsid w:val="00A448B8"/>
    <w:rsid w:val="00A475CC"/>
    <w:rsid w:val="00A50643"/>
    <w:rsid w:val="00A545D3"/>
    <w:rsid w:val="00A56598"/>
    <w:rsid w:val="00A60C56"/>
    <w:rsid w:val="00A61412"/>
    <w:rsid w:val="00A659DE"/>
    <w:rsid w:val="00A65E82"/>
    <w:rsid w:val="00A71A46"/>
    <w:rsid w:val="00A72262"/>
    <w:rsid w:val="00A739DD"/>
    <w:rsid w:val="00A740C8"/>
    <w:rsid w:val="00A75695"/>
    <w:rsid w:val="00A7680B"/>
    <w:rsid w:val="00A77C3B"/>
    <w:rsid w:val="00A80CF6"/>
    <w:rsid w:val="00A8176F"/>
    <w:rsid w:val="00A817AE"/>
    <w:rsid w:val="00A8779E"/>
    <w:rsid w:val="00A87C6D"/>
    <w:rsid w:val="00A905BC"/>
    <w:rsid w:val="00A93C06"/>
    <w:rsid w:val="00A94BF7"/>
    <w:rsid w:val="00AA141B"/>
    <w:rsid w:val="00AA5183"/>
    <w:rsid w:val="00AA78D1"/>
    <w:rsid w:val="00AB0E24"/>
    <w:rsid w:val="00AB40FF"/>
    <w:rsid w:val="00AB47A2"/>
    <w:rsid w:val="00AC42C8"/>
    <w:rsid w:val="00AC70BF"/>
    <w:rsid w:val="00AD2A6A"/>
    <w:rsid w:val="00AD2DE5"/>
    <w:rsid w:val="00AD4315"/>
    <w:rsid w:val="00AD5B35"/>
    <w:rsid w:val="00AD659D"/>
    <w:rsid w:val="00AD6F22"/>
    <w:rsid w:val="00AD780C"/>
    <w:rsid w:val="00AE0D68"/>
    <w:rsid w:val="00AE216D"/>
    <w:rsid w:val="00AE3BC2"/>
    <w:rsid w:val="00AE5A89"/>
    <w:rsid w:val="00B07035"/>
    <w:rsid w:val="00B078C9"/>
    <w:rsid w:val="00B11DDA"/>
    <w:rsid w:val="00B121D8"/>
    <w:rsid w:val="00B12FBC"/>
    <w:rsid w:val="00B141E9"/>
    <w:rsid w:val="00B2235B"/>
    <w:rsid w:val="00B23B25"/>
    <w:rsid w:val="00B25117"/>
    <w:rsid w:val="00B27A52"/>
    <w:rsid w:val="00B30646"/>
    <w:rsid w:val="00B364C4"/>
    <w:rsid w:val="00B418AC"/>
    <w:rsid w:val="00B45E86"/>
    <w:rsid w:val="00B55470"/>
    <w:rsid w:val="00B605EB"/>
    <w:rsid w:val="00B6400A"/>
    <w:rsid w:val="00B65F89"/>
    <w:rsid w:val="00B70F03"/>
    <w:rsid w:val="00B7660D"/>
    <w:rsid w:val="00B835BA"/>
    <w:rsid w:val="00B85185"/>
    <w:rsid w:val="00B9014D"/>
    <w:rsid w:val="00B9303A"/>
    <w:rsid w:val="00B93134"/>
    <w:rsid w:val="00B95A57"/>
    <w:rsid w:val="00B96C56"/>
    <w:rsid w:val="00BA10F3"/>
    <w:rsid w:val="00BA1DF3"/>
    <w:rsid w:val="00BA3AEE"/>
    <w:rsid w:val="00BA5DA1"/>
    <w:rsid w:val="00BB4F89"/>
    <w:rsid w:val="00BB5F2D"/>
    <w:rsid w:val="00BB617B"/>
    <w:rsid w:val="00BC624D"/>
    <w:rsid w:val="00BC7FAD"/>
    <w:rsid w:val="00BD09EC"/>
    <w:rsid w:val="00BD2971"/>
    <w:rsid w:val="00BD32B3"/>
    <w:rsid w:val="00BD60F7"/>
    <w:rsid w:val="00BE0A8F"/>
    <w:rsid w:val="00BE0DA5"/>
    <w:rsid w:val="00BE21FA"/>
    <w:rsid w:val="00BE2D2B"/>
    <w:rsid w:val="00BE3CA6"/>
    <w:rsid w:val="00BE5F4E"/>
    <w:rsid w:val="00BE6B3A"/>
    <w:rsid w:val="00BF3A31"/>
    <w:rsid w:val="00BF54A7"/>
    <w:rsid w:val="00BF550F"/>
    <w:rsid w:val="00C00988"/>
    <w:rsid w:val="00C01E20"/>
    <w:rsid w:val="00C02CD9"/>
    <w:rsid w:val="00C03A3B"/>
    <w:rsid w:val="00C046C8"/>
    <w:rsid w:val="00C05050"/>
    <w:rsid w:val="00C125F9"/>
    <w:rsid w:val="00C142EE"/>
    <w:rsid w:val="00C20FD6"/>
    <w:rsid w:val="00C21E05"/>
    <w:rsid w:val="00C22C41"/>
    <w:rsid w:val="00C2481F"/>
    <w:rsid w:val="00C31612"/>
    <w:rsid w:val="00C334E6"/>
    <w:rsid w:val="00C358AF"/>
    <w:rsid w:val="00C36147"/>
    <w:rsid w:val="00C50855"/>
    <w:rsid w:val="00C5180E"/>
    <w:rsid w:val="00C5478D"/>
    <w:rsid w:val="00C56C9C"/>
    <w:rsid w:val="00C60EBC"/>
    <w:rsid w:val="00C664EB"/>
    <w:rsid w:val="00C671E4"/>
    <w:rsid w:val="00C72917"/>
    <w:rsid w:val="00C72ED1"/>
    <w:rsid w:val="00C74408"/>
    <w:rsid w:val="00C748FE"/>
    <w:rsid w:val="00C74E51"/>
    <w:rsid w:val="00C75CA4"/>
    <w:rsid w:val="00C775F9"/>
    <w:rsid w:val="00C82706"/>
    <w:rsid w:val="00C836CB"/>
    <w:rsid w:val="00C8470B"/>
    <w:rsid w:val="00C84984"/>
    <w:rsid w:val="00C851BD"/>
    <w:rsid w:val="00C90F3A"/>
    <w:rsid w:val="00C91490"/>
    <w:rsid w:val="00C9201B"/>
    <w:rsid w:val="00C9718E"/>
    <w:rsid w:val="00CA37BD"/>
    <w:rsid w:val="00CA732A"/>
    <w:rsid w:val="00CB3352"/>
    <w:rsid w:val="00CB3C16"/>
    <w:rsid w:val="00CB4E85"/>
    <w:rsid w:val="00CB5443"/>
    <w:rsid w:val="00CB73A2"/>
    <w:rsid w:val="00CC36F4"/>
    <w:rsid w:val="00CC6040"/>
    <w:rsid w:val="00CC61C6"/>
    <w:rsid w:val="00CD00E7"/>
    <w:rsid w:val="00CD0B2A"/>
    <w:rsid w:val="00CE0065"/>
    <w:rsid w:val="00CE129F"/>
    <w:rsid w:val="00CE346F"/>
    <w:rsid w:val="00CE388B"/>
    <w:rsid w:val="00CE54CB"/>
    <w:rsid w:val="00CE7C1F"/>
    <w:rsid w:val="00CF001B"/>
    <w:rsid w:val="00CF3015"/>
    <w:rsid w:val="00CF3CBD"/>
    <w:rsid w:val="00CF3DD1"/>
    <w:rsid w:val="00D02586"/>
    <w:rsid w:val="00D0412D"/>
    <w:rsid w:val="00D04388"/>
    <w:rsid w:val="00D04397"/>
    <w:rsid w:val="00D071C5"/>
    <w:rsid w:val="00D114C7"/>
    <w:rsid w:val="00D11FCE"/>
    <w:rsid w:val="00D125B9"/>
    <w:rsid w:val="00D15835"/>
    <w:rsid w:val="00D20983"/>
    <w:rsid w:val="00D21251"/>
    <w:rsid w:val="00D25B4F"/>
    <w:rsid w:val="00D27128"/>
    <w:rsid w:val="00D27B68"/>
    <w:rsid w:val="00D3253B"/>
    <w:rsid w:val="00D33233"/>
    <w:rsid w:val="00D33781"/>
    <w:rsid w:val="00D33AA1"/>
    <w:rsid w:val="00D33CE8"/>
    <w:rsid w:val="00D33D01"/>
    <w:rsid w:val="00D3478F"/>
    <w:rsid w:val="00D37B0B"/>
    <w:rsid w:val="00D37D24"/>
    <w:rsid w:val="00D40107"/>
    <w:rsid w:val="00D41873"/>
    <w:rsid w:val="00D428DD"/>
    <w:rsid w:val="00D43FE9"/>
    <w:rsid w:val="00D460E7"/>
    <w:rsid w:val="00D5069F"/>
    <w:rsid w:val="00D50BF3"/>
    <w:rsid w:val="00D53952"/>
    <w:rsid w:val="00D55FF7"/>
    <w:rsid w:val="00D56488"/>
    <w:rsid w:val="00D60C90"/>
    <w:rsid w:val="00D61AED"/>
    <w:rsid w:val="00D63493"/>
    <w:rsid w:val="00D63759"/>
    <w:rsid w:val="00D66821"/>
    <w:rsid w:val="00D6776D"/>
    <w:rsid w:val="00D67F24"/>
    <w:rsid w:val="00D7578E"/>
    <w:rsid w:val="00D76AC4"/>
    <w:rsid w:val="00D80C6D"/>
    <w:rsid w:val="00D82979"/>
    <w:rsid w:val="00D9623E"/>
    <w:rsid w:val="00D97252"/>
    <w:rsid w:val="00D973FF"/>
    <w:rsid w:val="00DA1989"/>
    <w:rsid w:val="00DA4CDE"/>
    <w:rsid w:val="00DC0E0E"/>
    <w:rsid w:val="00DD19AD"/>
    <w:rsid w:val="00DD1A7B"/>
    <w:rsid w:val="00DD2D60"/>
    <w:rsid w:val="00DD34FD"/>
    <w:rsid w:val="00DD3E76"/>
    <w:rsid w:val="00DE01D4"/>
    <w:rsid w:val="00DE4A7B"/>
    <w:rsid w:val="00DF077C"/>
    <w:rsid w:val="00DF1033"/>
    <w:rsid w:val="00DF2411"/>
    <w:rsid w:val="00E01D61"/>
    <w:rsid w:val="00E03A4B"/>
    <w:rsid w:val="00E13478"/>
    <w:rsid w:val="00E173B9"/>
    <w:rsid w:val="00E24A20"/>
    <w:rsid w:val="00E25B20"/>
    <w:rsid w:val="00E26B23"/>
    <w:rsid w:val="00E270BB"/>
    <w:rsid w:val="00E3118D"/>
    <w:rsid w:val="00E31BC0"/>
    <w:rsid w:val="00E31C43"/>
    <w:rsid w:val="00E3268A"/>
    <w:rsid w:val="00E32E8F"/>
    <w:rsid w:val="00E351FA"/>
    <w:rsid w:val="00E352FA"/>
    <w:rsid w:val="00E361C9"/>
    <w:rsid w:val="00E36B4F"/>
    <w:rsid w:val="00E36C2E"/>
    <w:rsid w:val="00E41CBB"/>
    <w:rsid w:val="00E42E02"/>
    <w:rsid w:val="00E436BA"/>
    <w:rsid w:val="00E46948"/>
    <w:rsid w:val="00E504D6"/>
    <w:rsid w:val="00E52115"/>
    <w:rsid w:val="00E55DAE"/>
    <w:rsid w:val="00E64793"/>
    <w:rsid w:val="00E667BF"/>
    <w:rsid w:val="00E67BD3"/>
    <w:rsid w:val="00E73FFF"/>
    <w:rsid w:val="00E74FA4"/>
    <w:rsid w:val="00E75B0E"/>
    <w:rsid w:val="00E77753"/>
    <w:rsid w:val="00E8104F"/>
    <w:rsid w:val="00E8552A"/>
    <w:rsid w:val="00E86DD1"/>
    <w:rsid w:val="00E87B8A"/>
    <w:rsid w:val="00E90116"/>
    <w:rsid w:val="00E93196"/>
    <w:rsid w:val="00E938EA"/>
    <w:rsid w:val="00E95627"/>
    <w:rsid w:val="00E95CF4"/>
    <w:rsid w:val="00E96A7B"/>
    <w:rsid w:val="00E970A0"/>
    <w:rsid w:val="00E9712A"/>
    <w:rsid w:val="00EA0332"/>
    <w:rsid w:val="00EA0752"/>
    <w:rsid w:val="00EA1E1E"/>
    <w:rsid w:val="00EA2C1D"/>
    <w:rsid w:val="00EA5B6A"/>
    <w:rsid w:val="00EB04FB"/>
    <w:rsid w:val="00EB0746"/>
    <w:rsid w:val="00EB147D"/>
    <w:rsid w:val="00EB1EDC"/>
    <w:rsid w:val="00EB2B17"/>
    <w:rsid w:val="00EB3332"/>
    <w:rsid w:val="00EB6B9A"/>
    <w:rsid w:val="00EB7060"/>
    <w:rsid w:val="00EB7179"/>
    <w:rsid w:val="00EB78C9"/>
    <w:rsid w:val="00EC01D2"/>
    <w:rsid w:val="00EC49ED"/>
    <w:rsid w:val="00EC4D2E"/>
    <w:rsid w:val="00ED30F4"/>
    <w:rsid w:val="00ED5295"/>
    <w:rsid w:val="00ED5A9A"/>
    <w:rsid w:val="00ED79EC"/>
    <w:rsid w:val="00EE3695"/>
    <w:rsid w:val="00EE6368"/>
    <w:rsid w:val="00EF0DC0"/>
    <w:rsid w:val="00EF17D7"/>
    <w:rsid w:val="00EF188C"/>
    <w:rsid w:val="00EF1A73"/>
    <w:rsid w:val="00EF29C8"/>
    <w:rsid w:val="00EF3190"/>
    <w:rsid w:val="00F00E16"/>
    <w:rsid w:val="00F02DF7"/>
    <w:rsid w:val="00F04AC2"/>
    <w:rsid w:val="00F0661F"/>
    <w:rsid w:val="00F066E0"/>
    <w:rsid w:val="00F07936"/>
    <w:rsid w:val="00F10C74"/>
    <w:rsid w:val="00F1671F"/>
    <w:rsid w:val="00F20878"/>
    <w:rsid w:val="00F209C1"/>
    <w:rsid w:val="00F20FBD"/>
    <w:rsid w:val="00F2449E"/>
    <w:rsid w:val="00F30D3D"/>
    <w:rsid w:val="00F330A4"/>
    <w:rsid w:val="00F33E35"/>
    <w:rsid w:val="00F362BE"/>
    <w:rsid w:val="00F36891"/>
    <w:rsid w:val="00F37F24"/>
    <w:rsid w:val="00F434A0"/>
    <w:rsid w:val="00F44716"/>
    <w:rsid w:val="00F461F1"/>
    <w:rsid w:val="00F52413"/>
    <w:rsid w:val="00F552CB"/>
    <w:rsid w:val="00F57C38"/>
    <w:rsid w:val="00F60333"/>
    <w:rsid w:val="00F60B7C"/>
    <w:rsid w:val="00F63E66"/>
    <w:rsid w:val="00F647FA"/>
    <w:rsid w:val="00F67787"/>
    <w:rsid w:val="00F71583"/>
    <w:rsid w:val="00F731A5"/>
    <w:rsid w:val="00F82431"/>
    <w:rsid w:val="00F83740"/>
    <w:rsid w:val="00F84620"/>
    <w:rsid w:val="00F874B1"/>
    <w:rsid w:val="00F91BDC"/>
    <w:rsid w:val="00F92410"/>
    <w:rsid w:val="00F9686D"/>
    <w:rsid w:val="00FA0247"/>
    <w:rsid w:val="00FA11D7"/>
    <w:rsid w:val="00FA62D3"/>
    <w:rsid w:val="00FA7530"/>
    <w:rsid w:val="00FB155E"/>
    <w:rsid w:val="00FB1FBE"/>
    <w:rsid w:val="00FB4714"/>
    <w:rsid w:val="00FB569A"/>
    <w:rsid w:val="00FB5CC3"/>
    <w:rsid w:val="00FC07EC"/>
    <w:rsid w:val="00FC2427"/>
    <w:rsid w:val="00FC42F7"/>
    <w:rsid w:val="00FC489B"/>
    <w:rsid w:val="00FC5C8C"/>
    <w:rsid w:val="00FE05C4"/>
    <w:rsid w:val="00FE07B7"/>
    <w:rsid w:val="00FE40DB"/>
    <w:rsid w:val="00FE4B91"/>
    <w:rsid w:val="00FF07EF"/>
    <w:rsid w:val="00FF2F66"/>
    <w:rsid w:val="00FF3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E3752"/>
  <w14:defaultImageDpi w14:val="300"/>
  <w15:docId w15:val="{7422B803-D2A3-433D-9E1F-F5F9334C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C2"/>
    <w:pPr>
      <w:spacing w:after="120"/>
      <w:ind w:firstLine="284"/>
      <w:jc w:val="both"/>
    </w:pPr>
    <w:rPr>
      <w:rFonts w:asciiTheme="majorHAnsi" w:hAnsiTheme="majorHAnsi"/>
      <w:lang w:val="fr-FR"/>
    </w:rPr>
  </w:style>
  <w:style w:type="paragraph" w:styleId="Titre1">
    <w:name w:val="heading 1"/>
    <w:basedOn w:val="Normal"/>
    <w:next w:val="Normal"/>
    <w:link w:val="Titre1Car"/>
    <w:uiPriority w:val="9"/>
    <w:qFormat/>
    <w:rsid w:val="00FA7530"/>
    <w:pPr>
      <w:keepNext/>
      <w:keepLines/>
      <w:pageBreakBefore/>
      <w:numPr>
        <w:numId w:val="1"/>
      </w:numPr>
      <w:spacing w:before="480" w:after="240"/>
      <w:ind w:hanging="181"/>
      <w:jc w:val="left"/>
      <w:outlineLvl w:val="0"/>
    </w:pPr>
    <w:rPr>
      <w:rFonts w:eastAsiaTheme="majorEastAsia" w:cstheme="majorBidi"/>
      <w:b/>
      <w:bCs/>
      <w:i/>
      <w:sz w:val="28"/>
      <w:szCs w:val="32"/>
    </w:rPr>
  </w:style>
  <w:style w:type="paragraph" w:styleId="Titre2">
    <w:name w:val="heading 2"/>
    <w:basedOn w:val="Normal"/>
    <w:next w:val="Normal"/>
    <w:link w:val="Titre2Car"/>
    <w:uiPriority w:val="9"/>
    <w:unhideWhenUsed/>
    <w:qFormat/>
    <w:rsid w:val="00981D76"/>
    <w:pPr>
      <w:keepNext/>
      <w:keepLines/>
      <w:numPr>
        <w:numId w:val="2"/>
      </w:numPr>
      <w:spacing w:before="360" w:after="240"/>
      <w:ind w:left="714" w:hanging="357"/>
      <w:jc w:val="left"/>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981D76"/>
    <w:pPr>
      <w:keepNext/>
      <w:keepLines/>
      <w:numPr>
        <w:numId w:val="18"/>
      </w:numPr>
      <w:spacing w:before="360" w:after="240"/>
      <w:jc w:val="left"/>
      <w:outlineLvl w:val="2"/>
    </w:pPr>
    <w:rPr>
      <w:rFonts w:eastAsiaTheme="majorEastAsia" w:cstheme="majorBidi"/>
      <w:b/>
      <w:bCs/>
      <w:i/>
    </w:rPr>
  </w:style>
  <w:style w:type="paragraph" w:styleId="Titre4">
    <w:name w:val="heading 4"/>
    <w:basedOn w:val="Normal"/>
    <w:next w:val="Normal"/>
    <w:link w:val="Titre4Car"/>
    <w:uiPriority w:val="9"/>
    <w:unhideWhenUsed/>
    <w:qFormat/>
    <w:rsid w:val="00BE21FA"/>
    <w:pPr>
      <w:keepNext/>
      <w:keepLines/>
      <w:numPr>
        <w:numId w:val="5"/>
      </w:numPr>
      <w:spacing w:before="200" w:after="240"/>
      <w:jc w:val="center"/>
      <w:outlineLvl w:val="3"/>
    </w:pPr>
    <w:rPr>
      <w:rFonts w:eastAsiaTheme="majorEastAsia" w:cstheme="majorBidi"/>
      <w:b/>
      <w:bCs/>
      <w:iCs/>
      <w:u w:val="single"/>
    </w:rPr>
  </w:style>
  <w:style w:type="paragraph" w:styleId="Titre5">
    <w:name w:val="heading 5"/>
    <w:basedOn w:val="Normal"/>
    <w:next w:val="Normal"/>
    <w:link w:val="Titre5Car"/>
    <w:uiPriority w:val="9"/>
    <w:unhideWhenUsed/>
    <w:qFormat/>
    <w:rsid w:val="008105B2"/>
    <w:pPr>
      <w:keepNext/>
      <w:keepLines/>
      <w:numPr>
        <w:numId w:val="4"/>
      </w:numPr>
      <w:spacing w:before="200" w:after="0"/>
      <w:outlineLvl w:val="4"/>
    </w:pPr>
    <w:rPr>
      <w:rFonts w:eastAsiaTheme="majorEastAsia" w:cstheme="majorBidi"/>
      <w:i/>
      <w:color w:val="243F60" w:themeColor="accent1" w:themeShade="7F"/>
    </w:rPr>
  </w:style>
  <w:style w:type="paragraph" w:styleId="Titre6">
    <w:name w:val="heading 6"/>
    <w:basedOn w:val="Normal"/>
    <w:next w:val="Normal"/>
    <w:link w:val="Titre6Car"/>
    <w:uiPriority w:val="9"/>
    <w:unhideWhenUsed/>
    <w:qFormat/>
    <w:rsid w:val="00723E74"/>
    <w:pPr>
      <w:keepNext/>
      <w:keepLines/>
      <w:spacing w:before="200" w:after="0"/>
      <w:outlineLvl w:val="5"/>
    </w:pPr>
    <w:rPr>
      <w:rFonts w:eastAsiaTheme="majorEastAsia"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63E6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F63E66"/>
    <w:rPr>
      <w:rFonts w:asciiTheme="majorHAnsi" w:eastAsiaTheme="majorEastAsia" w:hAnsiTheme="majorHAnsi" w:cstheme="majorBidi"/>
      <w:color w:val="17365D" w:themeColor="text2" w:themeShade="BF"/>
      <w:spacing w:val="5"/>
      <w:kern w:val="28"/>
      <w:sz w:val="52"/>
      <w:szCs w:val="52"/>
      <w:lang w:val="fr-FR" w:eastAsia="fr-FR"/>
    </w:rPr>
  </w:style>
  <w:style w:type="paragraph" w:styleId="Sous-titre">
    <w:name w:val="Subtitle"/>
    <w:basedOn w:val="Normal"/>
    <w:next w:val="Normal"/>
    <w:link w:val="Sous-titreCar"/>
    <w:uiPriority w:val="11"/>
    <w:qFormat/>
    <w:rsid w:val="00F63E66"/>
    <w:pPr>
      <w:numPr>
        <w:ilvl w:val="1"/>
      </w:numPr>
      <w:spacing w:after="200" w:line="276" w:lineRule="auto"/>
      <w:ind w:firstLine="284"/>
    </w:pPr>
    <w:rPr>
      <w:rFonts w:eastAsiaTheme="majorEastAsia" w:cstheme="majorBidi"/>
      <w:i/>
      <w:iCs/>
      <w:color w:val="4F81BD" w:themeColor="accent1"/>
      <w:spacing w:val="15"/>
      <w:lang w:eastAsia="fr-FR"/>
    </w:rPr>
  </w:style>
  <w:style w:type="character" w:customStyle="1" w:styleId="Sous-titreCar">
    <w:name w:val="Sous-titre Car"/>
    <w:basedOn w:val="Policepardfaut"/>
    <w:link w:val="Sous-titre"/>
    <w:uiPriority w:val="11"/>
    <w:rsid w:val="00F63E66"/>
    <w:rPr>
      <w:rFonts w:asciiTheme="majorHAnsi" w:eastAsiaTheme="majorEastAsia" w:hAnsiTheme="majorHAnsi" w:cstheme="majorBidi"/>
      <w:i/>
      <w:iCs/>
      <w:color w:val="4F81BD" w:themeColor="accent1"/>
      <w:spacing w:val="15"/>
      <w:lang w:val="fr-FR" w:eastAsia="fr-FR"/>
    </w:rPr>
  </w:style>
  <w:style w:type="paragraph" w:styleId="En-tte">
    <w:name w:val="header"/>
    <w:basedOn w:val="Normal"/>
    <w:link w:val="En-tteCar"/>
    <w:uiPriority w:val="99"/>
    <w:unhideWhenUsed/>
    <w:rsid w:val="00F63E66"/>
    <w:pPr>
      <w:tabs>
        <w:tab w:val="center" w:pos="4153"/>
        <w:tab w:val="right" w:pos="8306"/>
      </w:tabs>
    </w:pPr>
  </w:style>
  <w:style w:type="character" w:customStyle="1" w:styleId="En-tteCar">
    <w:name w:val="En-tête Car"/>
    <w:basedOn w:val="Policepardfaut"/>
    <w:link w:val="En-tte"/>
    <w:uiPriority w:val="99"/>
    <w:rsid w:val="00F63E66"/>
    <w:rPr>
      <w:lang w:val="fr-FR"/>
    </w:rPr>
  </w:style>
  <w:style w:type="paragraph" w:styleId="Pieddepage">
    <w:name w:val="footer"/>
    <w:basedOn w:val="Normal"/>
    <w:link w:val="PieddepageCar"/>
    <w:uiPriority w:val="99"/>
    <w:unhideWhenUsed/>
    <w:rsid w:val="00F63E66"/>
    <w:pPr>
      <w:tabs>
        <w:tab w:val="center" w:pos="4153"/>
        <w:tab w:val="right" w:pos="8306"/>
      </w:tabs>
    </w:pPr>
  </w:style>
  <w:style w:type="character" w:customStyle="1" w:styleId="PieddepageCar">
    <w:name w:val="Pied de page Car"/>
    <w:basedOn w:val="Policepardfaut"/>
    <w:link w:val="Pieddepage"/>
    <w:uiPriority w:val="99"/>
    <w:rsid w:val="00F63E66"/>
    <w:rPr>
      <w:lang w:val="fr-FR"/>
    </w:rPr>
  </w:style>
  <w:style w:type="paragraph" w:styleId="Textedebulles">
    <w:name w:val="Balloon Text"/>
    <w:basedOn w:val="Normal"/>
    <w:link w:val="TextedebullesCar"/>
    <w:uiPriority w:val="99"/>
    <w:semiHidden/>
    <w:unhideWhenUsed/>
    <w:rsid w:val="00F63E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3E66"/>
    <w:rPr>
      <w:rFonts w:ascii="Lucida Grande" w:hAnsi="Lucida Grande" w:cs="Lucida Grande"/>
      <w:sz w:val="18"/>
      <w:szCs w:val="18"/>
      <w:lang w:val="fr-FR"/>
    </w:rPr>
  </w:style>
  <w:style w:type="character" w:customStyle="1" w:styleId="Titre1Car">
    <w:name w:val="Titre 1 Car"/>
    <w:basedOn w:val="Policepardfaut"/>
    <w:link w:val="Titre1"/>
    <w:uiPriority w:val="9"/>
    <w:rsid w:val="00FA7530"/>
    <w:rPr>
      <w:rFonts w:asciiTheme="majorHAnsi" w:eastAsiaTheme="majorEastAsia" w:hAnsiTheme="majorHAnsi" w:cstheme="majorBidi"/>
      <w:b/>
      <w:bCs/>
      <w:i/>
      <w:sz w:val="28"/>
      <w:szCs w:val="32"/>
      <w:lang w:val="fr-FR"/>
    </w:rPr>
  </w:style>
  <w:style w:type="paragraph" w:styleId="Paragraphedeliste">
    <w:name w:val="List Paragraph"/>
    <w:basedOn w:val="Normal"/>
    <w:link w:val="ParagraphedelisteCar"/>
    <w:uiPriority w:val="34"/>
    <w:qFormat/>
    <w:rsid w:val="00F60333"/>
    <w:pPr>
      <w:ind w:left="720"/>
      <w:contextualSpacing/>
    </w:pPr>
  </w:style>
  <w:style w:type="character" w:styleId="Numrodepage">
    <w:name w:val="page number"/>
    <w:basedOn w:val="Policepardfaut"/>
    <w:uiPriority w:val="99"/>
    <w:semiHidden/>
    <w:unhideWhenUsed/>
    <w:rsid w:val="00053FBE"/>
  </w:style>
  <w:style w:type="character" w:customStyle="1" w:styleId="Titre2Car">
    <w:name w:val="Titre 2 Car"/>
    <w:basedOn w:val="Policepardfaut"/>
    <w:link w:val="Titre2"/>
    <w:uiPriority w:val="9"/>
    <w:rsid w:val="00981D76"/>
    <w:rPr>
      <w:rFonts w:asciiTheme="majorHAnsi" w:eastAsiaTheme="majorEastAsia" w:hAnsiTheme="majorHAnsi" w:cstheme="majorBidi"/>
      <w:b/>
      <w:bCs/>
      <w:sz w:val="28"/>
      <w:szCs w:val="26"/>
      <w:lang w:val="fr-FR"/>
    </w:rPr>
  </w:style>
  <w:style w:type="paragraph" w:styleId="TM1">
    <w:name w:val="toc 1"/>
    <w:basedOn w:val="Normal"/>
    <w:next w:val="Normal"/>
    <w:autoRedefine/>
    <w:uiPriority w:val="39"/>
    <w:unhideWhenUsed/>
    <w:rsid w:val="004D4819"/>
    <w:pPr>
      <w:spacing w:before="120" w:after="0"/>
      <w:jc w:val="left"/>
    </w:pPr>
    <w:rPr>
      <w:rFonts w:asciiTheme="minorHAnsi" w:hAnsiTheme="minorHAnsi"/>
      <w:b/>
      <w:sz w:val="22"/>
      <w:szCs w:val="22"/>
    </w:rPr>
  </w:style>
  <w:style w:type="paragraph" w:styleId="TM2">
    <w:name w:val="toc 2"/>
    <w:basedOn w:val="Normal"/>
    <w:next w:val="Normal"/>
    <w:autoRedefine/>
    <w:uiPriority w:val="39"/>
    <w:unhideWhenUsed/>
    <w:rsid w:val="004D4819"/>
    <w:pPr>
      <w:spacing w:after="0"/>
      <w:ind w:left="240"/>
      <w:jc w:val="left"/>
    </w:pPr>
    <w:rPr>
      <w:rFonts w:asciiTheme="minorHAnsi" w:hAnsiTheme="minorHAnsi"/>
      <w:i/>
      <w:sz w:val="22"/>
      <w:szCs w:val="22"/>
    </w:rPr>
  </w:style>
  <w:style w:type="paragraph" w:styleId="TM3">
    <w:name w:val="toc 3"/>
    <w:basedOn w:val="Normal"/>
    <w:next w:val="Normal"/>
    <w:autoRedefine/>
    <w:uiPriority w:val="39"/>
    <w:unhideWhenUsed/>
    <w:rsid w:val="004D4819"/>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4D4819"/>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4D4819"/>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4D4819"/>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4D4819"/>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4D4819"/>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4D4819"/>
    <w:pPr>
      <w:spacing w:after="0"/>
      <w:ind w:left="1920"/>
      <w:jc w:val="left"/>
    </w:pPr>
    <w:rPr>
      <w:rFonts w:asciiTheme="minorHAnsi" w:hAnsiTheme="minorHAnsi"/>
      <w:sz w:val="20"/>
      <w:szCs w:val="20"/>
    </w:rPr>
  </w:style>
  <w:style w:type="character" w:customStyle="1" w:styleId="Titre3Car">
    <w:name w:val="Titre 3 Car"/>
    <w:basedOn w:val="Policepardfaut"/>
    <w:link w:val="Titre3"/>
    <w:uiPriority w:val="9"/>
    <w:rsid w:val="00981D76"/>
    <w:rPr>
      <w:rFonts w:asciiTheme="majorHAnsi" w:eastAsiaTheme="majorEastAsia" w:hAnsiTheme="majorHAnsi" w:cstheme="majorBidi"/>
      <w:b/>
      <w:bCs/>
      <w:i/>
      <w:lang w:val="fr-FR"/>
    </w:rPr>
  </w:style>
  <w:style w:type="character" w:customStyle="1" w:styleId="Titre4Car">
    <w:name w:val="Titre 4 Car"/>
    <w:basedOn w:val="Policepardfaut"/>
    <w:link w:val="Titre4"/>
    <w:uiPriority w:val="9"/>
    <w:rsid w:val="00BE21FA"/>
    <w:rPr>
      <w:rFonts w:asciiTheme="majorHAnsi" w:eastAsiaTheme="majorEastAsia" w:hAnsiTheme="majorHAnsi" w:cstheme="majorBidi"/>
      <w:b/>
      <w:bCs/>
      <w:iCs/>
      <w:u w:val="single"/>
      <w:lang w:val="fr-FR"/>
    </w:rPr>
  </w:style>
  <w:style w:type="paragraph" w:styleId="Notedebasdepage">
    <w:name w:val="footnote text"/>
    <w:basedOn w:val="Normal"/>
    <w:link w:val="NotedebasdepageCar"/>
    <w:uiPriority w:val="99"/>
    <w:unhideWhenUsed/>
    <w:rsid w:val="008616D3"/>
    <w:pPr>
      <w:spacing w:after="0"/>
    </w:pPr>
  </w:style>
  <w:style w:type="character" w:customStyle="1" w:styleId="NotedebasdepageCar">
    <w:name w:val="Note de bas de page Car"/>
    <w:basedOn w:val="Policepardfaut"/>
    <w:link w:val="Notedebasdepage"/>
    <w:uiPriority w:val="99"/>
    <w:rsid w:val="008616D3"/>
    <w:rPr>
      <w:rFonts w:asciiTheme="majorHAnsi" w:hAnsiTheme="majorHAnsi"/>
      <w:lang w:val="fr-FR"/>
    </w:rPr>
  </w:style>
  <w:style w:type="character" w:styleId="Appelnotedebasdep">
    <w:name w:val="footnote reference"/>
    <w:basedOn w:val="Policepardfaut"/>
    <w:uiPriority w:val="99"/>
    <w:unhideWhenUsed/>
    <w:rsid w:val="008616D3"/>
    <w:rPr>
      <w:vertAlign w:val="superscript"/>
    </w:rPr>
  </w:style>
  <w:style w:type="character" w:customStyle="1" w:styleId="Titre5Car">
    <w:name w:val="Titre 5 Car"/>
    <w:basedOn w:val="Policepardfaut"/>
    <w:link w:val="Titre5"/>
    <w:uiPriority w:val="9"/>
    <w:rsid w:val="008105B2"/>
    <w:rPr>
      <w:rFonts w:asciiTheme="majorHAnsi" w:eastAsiaTheme="majorEastAsia" w:hAnsiTheme="majorHAnsi" w:cstheme="majorBidi"/>
      <w:i/>
      <w:color w:val="243F60" w:themeColor="accent1" w:themeShade="7F"/>
      <w:lang w:val="fr-FR"/>
    </w:rPr>
  </w:style>
  <w:style w:type="paragraph" w:styleId="Rvision">
    <w:name w:val="Revision"/>
    <w:hidden/>
    <w:uiPriority w:val="99"/>
    <w:semiHidden/>
    <w:rsid w:val="00421150"/>
    <w:rPr>
      <w:rFonts w:asciiTheme="majorHAnsi" w:hAnsiTheme="majorHAnsi"/>
      <w:lang w:val="fr-FR"/>
    </w:rPr>
  </w:style>
  <w:style w:type="character" w:styleId="Lienhypertexte">
    <w:name w:val="Hyperlink"/>
    <w:basedOn w:val="Policepardfaut"/>
    <w:uiPriority w:val="99"/>
    <w:unhideWhenUsed/>
    <w:rsid w:val="00170C12"/>
    <w:rPr>
      <w:color w:val="0000FF" w:themeColor="hyperlink"/>
      <w:u w:val="single"/>
    </w:rPr>
  </w:style>
  <w:style w:type="paragraph" w:customStyle="1" w:styleId="yiv8577718851msonormal">
    <w:name w:val="yiv8577718851msonormal"/>
    <w:basedOn w:val="Normal"/>
    <w:rsid w:val="00595972"/>
    <w:pPr>
      <w:spacing w:before="100" w:beforeAutospacing="1" w:after="100" w:afterAutospacing="1"/>
      <w:ind w:firstLine="0"/>
      <w:jc w:val="left"/>
    </w:pPr>
    <w:rPr>
      <w:rFonts w:ascii="Times" w:hAnsi="Times"/>
      <w:sz w:val="20"/>
      <w:szCs w:val="20"/>
    </w:rPr>
  </w:style>
  <w:style w:type="paragraph" w:customStyle="1" w:styleId="yiv8577718851msolistparagraph">
    <w:name w:val="yiv8577718851msolistparagraph"/>
    <w:basedOn w:val="Normal"/>
    <w:rsid w:val="00595972"/>
    <w:pPr>
      <w:spacing w:before="100" w:beforeAutospacing="1" w:after="100" w:afterAutospacing="1"/>
      <w:ind w:firstLine="0"/>
      <w:jc w:val="left"/>
    </w:pPr>
    <w:rPr>
      <w:rFonts w:ascii="Times" w:hAnsi="Times"/>
      <w:sz w:val="20"/>
      <w:szCs w:val="20"/>
    </w:rPr>
  </w:style>
  <w:style w:type="character" w:customStyle="1" w:styleId="object">
    <w:name w:val="object"/>
    <w:basedOn w:val="Policepardfaut"/>
    <w:rsid w:val="002C2ABA"/>
  </w:style>
  <w:style w:type="character" w:styleId="lev">
    <w:name w:val="Strong"/>
    <w:basedOn w:val="Policepardfaut"/>
    <w:uiPriority w:val="22"/>
    <w:qFormat/>
    <w:rsid w:val="004D15DA"/>
    <w:rPr>
      <w:b/>
      <w:bCs/>
    </w:rPr>
  </w:style>
  <w:style w:type="paragraph" w:styleId="NormalWeb">
    <w:name w:val="Normal (Web)"/>
    <w:basedOn w:val="Normal"/>
    <w:uiPriority w:val="99"/>
    <w:unhideWhenUsed/>
    <w:rsid w:val="004D15DA"/>
    <w:pPr>
      <w:spacing w:before="100" w:beforeAutospacing="1" w:after="100" w:afterAutospacing="1"/>
      <w:ind w:firstLine="0"/>
      <w:jc w:val="left"/>
    </w:pPr>
    <w:rPr>
      <w:rFonts w:ascii="Times" w:hAnsi="Times" w:cs="Times New Roman"/>
      <w:sz w:val="20"/>
      <w:szCs w:val="20"/>
    </w:rPr>
  </w:style>
  <w:style w:type="character" w:customStyle="1" w:styleId="ParagraphedelisteCar">
    <w:name w:val="Paragraphe de liste Car"/>
    <w:link w:val="Paragraphedeliste"/>
    <w:uiPriority w:val="34"/>
    <w:rsid w:val="00013582"/>
    <w:rPr>
      <w:rFonts w:asciiTheme="majorHAnsi" w:hAnsiTheme="majorHAnsi"/>
      <w:lang w:val="fr-FR"/>
    </w:rPr>
  </w:style>
  <w:style w:type="table" w:styleId="Grilledutableau">
    <w:name w:val="Table Grid"/>
    <w:basedOn w:val="TableauNormal"/>
    <w:uiPriority w:val="59"/>
    <w:rsid w:val="008720B4"/>
    <w:rPr>
      <w:rFonts w:eastAsiaTheme="minorHAns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unhideWhenUsed/>
    <w:rsid w:val="00391D3D"/>
    <w:pPr>
      <w:ind w:left="480" w:hanging="480"/>
    </w:pPr>
  </w:style>
  <w:style w:type="paragraph" w:styleId="Lgende">
    <w:name w:val="caption"/>
    <w:basedOn w:val="Normal"/>
    <w:next w:val="Normal"/>
    <w:uiPriority w:val="35"/>
    <w:unhideWhenUsed/>
    <w:qFormat/>
    <w:rsid w:val="00391D3D"/>
    <w:pPr>
      <w:spacing w:after="200"/>
    </w:pPr>
    <w:rPr>
      <w:b/>
      <w:bCs/>
      <w:color w:val="4F81BD" w:themeColor="accent1"/>
      <w:sz w:val="18"/>
      <w:szCs w:val="18"/>
    </w:rPr>
  </w:style>
  <w:style w:type="character" w:styleId="Marquedecommentaire">
    <w:name w:val="annotation reference"/>
    <w:basedOn w:val="Policepardfaut"/>
    <w:uiPriority w:val="99"/>
    <w:semiHidden/>
    <w:unhideWhenUsed/>
    <w:rsid w:val="00EB1EDC"/>
    <w:rPr>
      <w:sz w:val="16"/>
      <w:szCs w:val="16"/>
    </w:rPr>
  </w:style>
  <w:style w:type="paragraph" w:styleId="Commentaire">
    <w:name w:val="annotation text"/>
    <w:basedOn w:val="Normal"/>
    <w:link w:val="CommentaireCar"/>
    <w:uiPriority w:val="99"/>
    <w:semiHidden/>
    <w:unhideWhenUsed/>
    <w:rsid w:val="00EB1EDC"/>
    <w:pPr>
      <w:spacing w:after="200"/>
      <w:ind w:firstLine="0"/>
    </w:pPr>
    <w:rPr>
      <w:rFonts w:asciiTheme="minorHAnsi" w:hAnsiTheme="minorHAnsi"/>
      <w:sz w:val="20"/>
      <w:szCs w:val="20"/>
      <w:lang w:val="en-US" w:bidi="en-US"/>
    </w:rPr>
  </w:style>
  <w:style w:type="character" w:customStyle="1" w:styleId="CommentaireCar">
    <w:name w:val="Commentaire Car"/>
    <w:basedOn w:val="Policepardfaut"/>
    <w:link w:val="Commentaire"/>
    <w:uiPriority w:val="99"/>
    <w:semiHidden/>
    <w:rsid w:val="00EB1EDC"/>
    <w:rPr>
      <w:sz w:val="20"/>
      <w:szCs w:val="20"/>
      <w:lang w:val="en-US" w:bidi="en-US"/>
    </w:rPr>
  </w:style>
  <w:style w:type="character" w:customStyle="1" w:styleId="Titre6Car">
    <w:name w:val="Titre 6 Car"/>
    <w:basedOn w:val="Policepardfaut"/>
    <w:link w:val="Titre6"/>
    <w:uiPriority w:val="9"/>
    <w:rsid w:val="00723E74"/>
    <w:rPr>
      <w:rFonts w:asciiTheme="majorHAnsi" w:eastAsiaTheme="majorEastAsia" w:hAnsiTheme="majorHAnsi" w:cstheme="majorBidi"/>
      <w:i/>
      <w:iCs/>
      <w:color w:val="243F60" w:themeColor="accent1" w:themeShade="7F"/>
      <w:lang w:val="fr-FR"/>
    </w:rPr>
  </w:style>
  <w:style w:type="character" w:customStyle="1" w:styleId="citation">
    <w:name w:val="citation"/>
    <w:basedOn w:val="Policepardfaut"/>
    <w:rsid w:val="00C142EE"/>
  </w:style>
  <w:style w:type="paragraph" w:customStyle="1" w:styleId="Default">
    <w:name w:val="Default"/>
    <w:rsid w:val="00C046C8"/>
    <w:pPr>
      <w:widowControl w:val="0"/>
      <w:autoSpaceDE w:val="0"/>
      <w:autoSpaceDN w:val="0"/>
      <w:adjustRightInd w:val="0"/>
    </w:pPr>
    <w:rPr>
      <w:rFonts w:ascii="Calibri" w:hAnsi="Calibri" w:cs="Calibri"/>
      <w:color w:val="000000"/>
      <w:lang w:val="en-US"/>
    </w:rPr>
  </w:style>
  <w:style w:type="paragraph" w:styleId="Objetducommentaire">
    <w:name w:val="annotation subject"/>
    <w:basedOn w:val="Commentaire"/>
    <w:next w:val="Commentaire"/>
    <w:link w:val="ObjetducommentaireCar"/>
    <w:uiPriority w:val="99"/>
    <w:semiHidden/>
    <w:unhideWhenUsed/>
    <w:rsid w:val="00B45E86"/>
    <w:pPr>
      <w:spacing w:after="120"/>
      <w:ind w:firstLine="284"/>
    </w:pPr>
    <w:rPr>
      <w:rFonts w:asciiTheme="majorHAnsi" w:hAnsiTheme="majorHAnsi"/>
      <w:b/>
      <w:bCs/>
      <w:lang w:val="fr-FR" w:bidi="ar-SA"/>
    </w:rPr>
  </w:style>
  <w:style w:type="character" w:customStyle="1" w:styleId="ObjetducommentaireCar">
    <w:name w:val="Objet du commentaire Car"/>
    <w:basedOn w:val="CommentaireCar"/>
    <w:link w:val="Objetducommentaire"/>
    <w:uiPriority w:val="99"/>
    <w:semiHidden/>
    <w:rsid w:val="00B45E86"/>
    <w:rPr>
      <w:rFonts w:asciiTheme="majorHAnsi" w:hAnsiTheme="majorHAnsi"/>
      <w:b/>
      <w:bCs/>
      <w:sz w:val="20"/>
      <w:szCs w:val="20"/>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1464">
      <w:bodyDiv w:val="1"/>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
        <w:div w:id="1449467775">
          <w:marLeft w:val="0"/>
          <w:marRight w:val="0"/>
          <w:marTop w:val="0"/>
          <w:marBottom w:val="0"/>
          <w:divBdr>
            <w:top w:val="none" w:sz="0" w:space="0" w:color="auto"/>
            <w:left w:val="none" w:sz="0" w:space="0" w:color="auto"/>
            <w:bottom w:val="none" w:sz="0" w:space="0" w:color="auto"/>
            <w:right w:val="none" w:sz="0" w:space="0" w:color="auto"/>
          </w:divBdr>
        </w:div>
        <w:div w:id="1738238988">
          <w:marLeft w:val="0"/>
          <w:marRight w:val="0"/>
          <w:marTop w:val="0"/>
          <w:marBottom w:val="0"/>
          <w:divBdr>
            <w:top w:val="none" w:sz="0" w:space="0" w:color="auto"/>
            <w:left w:val="none" w:sz="0" w:space="0" w:color="auto"/>
            <w:bottom w:val="none" w:sz="0" w:space="0" w:color="auto"/>
            <w:right w:val="none" w:sz="0" w:space="0" w:color="auto"/>
          </w:divBdr>
        </w:div>
        <w:div w:id="504634117">
          <w:marLeft w:val="0"/>
          <w:marRight w:val="0"/>
          <w:marTop w:val="0"/>
          <w:marBottom w:val="0"/>
          <w:divBdr>
            <w:top w:val="none" w:sz="0" w:space="0" w:color="auto"/>
            <w:left w:val="none" w:sz="0" w:space="0" w:color="auto"/>
            <w:bottom w:val="none" w:sz="0" w:space="0" w:color="auto"/>
            <w:right w:val="none" w:sz="0" w:space="0" w:color="auto"/>
          </w:divBdr>
        </w:div>
        <w:div w:id="635066718">
          <w:marLeft w:val="0"/>
          <w:marRight w:val="0"/>
          <w:marTop w:val="0"/>
          <w:marBottom w:val="0"/>
          <w:divBdr>
            <w:top w:val="none" w:sz="0" w:space="0" w:color="auto"/>
            <w:left w:val="none" w:sz="0" w:space="0" w:color="auto"/>
            <w:bottom w:val="none" w:sz="0" w:space="0" w:color="auto"/>
            <w:right w:val="none" w:sz="0" w:space="0" w:color="auto"/>
          </w:divBdr>
        </w:div>
        <w:div w:id="120658583">
          <w:marLeft w:val="0"/>
          <w:marRight w:val="0"/>
          <w:marTop w:val="0"/>
          <w:marBottom w:val="0"/>
          <w:divBdr>
            <w:top w:val="none" w:sz="0" w:space="0" w:color="auto"/>
            <w:left w:val="none" w:sz="0" w:space="0" w:color="auto"/>
            <w:bottom w:val="none" w:sz="0" w:space="0" w:color="auto"/>
            <w:right w:val="none" w:sz="0" w:space="0" w:color="auto"/>
          </w:divBdr>
        </w:div>
        <w:div w:id="314644566">
          <w:marLeft w:val="0"/>
          <w:marRight w:val="0"/>
          <w:marTop w:val="0"/>
          <w:marBottom w:val="0"/>
          <w:divBdr>
            <w:top w:val="none" w:sz="0" w:space="0" w:color="auto"/>
            <w:left w:val="none" w:sz="0" w:space="0" w:color="auto"/>
            <w:bottom w:val="none" w:sz="0" w:space="0" w:color="auto"/>
            <w:right w:val="none" w:sz="0" w:space="0" w:color="auto"/>
          </w:divBdr>
        </w:div>
        <w:div w:id="787704802">
          <w:marLeft w:val="0"/>
          <w:marRight w:val="0"/>
          <w:marTop w:val="0"/>
          <w:marBottom w:val="0"/>
          <w:divBdr>
            <w:top w:val="none" w:sz="0" w:space="0" w:color="auto"/>
            <w:left w:val="none" w:sz="0" w:space="0" w:color="auto"/>
            <w:bottom w:val="none" w:sz="0" w:space="0" w:color="auto"/>
            <w:right w:val="none" w:sz="0" w:space="0" w:color="auto"/>
          </w:divBdr>
        </w:div>
        <w:div w:id="1591233834">
          <w:marLeft w:val="0"/>
          <w:marRight w:val="0"/>
          <w:marTop w:val="0"/>
          <w:marBottom w:val="0"/>
          <w:divBdr>
            <w:top w:val="none" w:sz="0" w:space="0" w:color="auto"/>
            <w:left w:val="none" w:sz="0" w:space="0" w:color="auto"/>
            <w:bottom w:val="none" w:sz="0" w:space="0" w:color="auto"/>
            <w:right w:val="none" w:sz="0" w:space="0" w:color="auto"/>
          </w:divBdr>
        </w:div>
        <w:div w:id="1955988079">
          <w:marLeft w:val="0"/>
          <w:marRight w:val="0"/>
          <w:marTop w:val="0"/>
          <w:marBottom w:val="0"/>
          <w:divBdr>
            <w:top w:val="none" w:sz="0" w:space="0" w:color="auto"/>
            <w:left w:val="none" w:sz="0" w:space="0" w:color="auto"/>
            <w:bottom w:val="none" w:sz="0" w:space="0" w:color="auto"/>
            <w:right w:val="none" w:sz="0" w:space="0" w:color="auto"/>
          </w:divBdr>
        </w:div>
        <w:div w:id="1978224103">
          <w:marLeft w:val="0"/>
          <w:marRight w:val="0"/>
          <w:marTop w:val="0"/>
          <w:marBottom w:val="0"/>
          <w:divBdr>
            <w:top w:val="none" w:sz="0" w:space="0" w:color="auto"/>
            <w:left w:val="none" w:sz="0" w:space="0" w:color="auto"/>
            <w:bottom w:val="none" w:sz="0" w:space="0" w:color="auto"/>
            <w:right w:val="none" w:sz="0" w:space="0" w:color="auto"/>
          </w:divBdr>
        </w:div>
        <w:div w:id="1100492172">
          <w:marLeft w:val="0"/>
          <w:marRight w:val="0"/>
          <w:marTop w:val="0"/>
          <w:marBottom w:val="0"/>
          <w:divBdr>
            <w:top w:val="none" w:sz="0" w:space="0" w:color="auto"/>
            <w:left w:val="none" w:sz="0" w:space="0" w:color="auto"/>
            <w:bottom w:val="none" w:sz="0" w:space="0" w:color="auto"/>
            <w:right w:val="none" w:sz="0" w:space="0" w:color="auto"/>
          </w:divBdr>
        </w:div>
        <w:div w:id="1570844827">
          <w:marLeft w:val="0"/>
          <w:marRight w:val="0"/>
          <w:marTop w:val="0"/>
          <w:marBottom w:val="0"/>
          <w:divBdr>
            <w:top w:val="none" w:sz="0" w:space="0" w:color="auto"/>
            <w:left w:val="none" w:sz="0" w:space="0" w:color="auto"/>
            <w:bottom w:val="none" w:sz="0" w:space="0" w:color="auto"/>
            <w:right w:val="none" w:sz="0" w:space="0" w:color="auto"/>
          </w:divBdr>
        </w:div>
        <w:div w:id="1281760166">
          <w:marLeft w:val="0"/>
          <w:marRight w:val="0"/>
          <w:marTop w:val="0"/>
          <w:marBottom w:val="0"/>
          <w:divBdr>
            <w:top w:val="none" w:sz="0" w:space="0" w:color="auto"/>
            <w:left w:val="none" w:sz="0" w:space="0" w:color="auto"/>
            <w:bottom w:val="none" w:sz="0" w:space="0" w:color="auto"/>
            <w:right w:val="none" w:sz="0" w:space="0" w:color="auto"/>
          </w:divBdr>
        </w:div>
        <w:div w:id="1009411935">
          <w:marLeft w:val="0"/>
          <w:marRight w:val="0"/>
          <w:marTop w:val="0"/>
          <w:marBottom w:val="0"/>
          <w:divBdr>
            <w:top w:val="none" w:sz="0" w:space="0" w:color="auto"/>
            <w:left w:val="none" w:sz="0" w:space="0" w:color="auto"/>
            <w:bottom w:val="none" w:sz="0" w:space="0" w:color="auto"/>
            <w:right w:val="none" w:sz="0" w:space="0" w:color="auto"/>
          </w:divBdr>
        </w:div>
        <w:div w:id="1127351525">
          <w:marLeft w:val="0"/>
          <w:marRight w:val="0"/>
          <w:marTop w:val="0"/>
          <w:marBottom w:val="0"/>
          <w:divBdr>
            <w:top w:val="none" w:sz="0" w:space="0" w:color="auto"/>
            <w:left w:val="none" w:sz="0" w:space="0" w:color="auto"/>
            <w:bottom w:val="none" w:sz="0" w:space="0" w:color="auto"/>
            <w:right w:val="none" w:sz="0" w:space="0" w:color="auto"/>
          </w:divBdr>
        </w:div>
        <w:div w:id="1016931486">
          <w:marLeft w:val="0"/>
          <w:marRight w:val="0"/>
          <w:marTop w:val="0"/>
          <w:marBottom w:val="0"/>
          <w:divBdr>
            <w:top w:val="none" w:sz="0" w:space="0" w:color="auto"/>
            <w:left w:val="none" w:sz="0" w:space="0" w:color="auto"/>
            <w:bottom w:val="none" w:sz="0" w:space="0" w:color="auto"/>
            <w:right w:val="none" w:sz="0" w:space="0" w:color="auto"/>
          </w:divBdr>
        </w:div>
        <w:div w:id="1366104731">
          <w:marLeft w:val="0"/>
          <w:marRight w:val="0"/>
          <w:marTop w:val="0"/>
          <w:marBottom w:val="0"/>
          <w:divBdr>
            <w:top w:val="none" w:sz="0" w:space="0" w:color="auto"/>
            <w:left w:val="none" w:sz="0" w:space="0" w:color="auto"/>
            <w:bottom w:val="none" w:sz="0" w:space="0" w:color="auto"/>
            <w:right w:val="none" w:sz="0" w:space="0" w:color="auto"/>
          </w:divBdr>
        </w:div>
        <w:div w:id="1280262618">
          <w:marLeft w:val="0"/>
          <w:marRight w:val="0"/>
          <w:marTop w:val="0"/>
          <w:marBottom w:val="0"/>
          <w:divBdr>
            <w:top w:val="none" w:sz="0" w:space="0" w:color="auto"/>
            <w:left w:val="none" w:sz="0" w:space="0" w:color="auto"/>
            <w:bottom w:val="none" w:sz="0" w:space="0" w:color="auto"/>
            <w:right w:val="none" w:sz="0" w:space="0" w:color="auto"/>
          </w:divBdr>
        </w:div>
        <w:div w:id="1460873776">
          <w:marLeft w:val="0"/>
          <w:marRight w:val="0"/>
          <w:marTop w:val="0"/>
          <w:marBottom w:val="0"/>
          <w:divBdr>
            <w:top w:val="none" w:sz="0" w:space="0" w:color="auto"/>
            <w:left w:val="none" w:sz="0" w:space="0" w:color="auto"/>
            <w:bottom w:val="none" w:sz="0" w:space="0" w:color="auto"/>
            <w:right w:val="none" w:sz="0" w:space="0" w:color="auto"/>
          </w:divBdr>
        </w:div>
        <w:div w:id="64961664">
          <w:marLeft w:val="0"/>
          <w:marRight w:val="0"/>
          <w:marTop w:val="0"/>
          <w:marBottom w:val="0"/>
          <w:divBdr>
            <w:top w:val="none" w:sz="0" w:space="0" w:color="auto"/>
            <w:left w:val="none" w:sz="0" w:space="0" w:color="auto"/>
            <w:bottom w:val="none" w:sz="0" w:space="0" w:color="auto"/>
            <w:right w:val="none" w:sz="0" w:space="0" w:color="auto"/>
          </w:divBdr>
          <w:divsChild>
            <w:div w:id="2041586067">
              <w:marLeft w:val="0"/>
              <w:marRight w:val="0"/>
              <w:marTop w:val="0"/>
              <w:marBottom w:val="0"/>
              <w:divBdr>
                <w:top w:val="none" w:sz="0" w:space="0" w:color="auto"/>
                <w:left w:val="none" w:sz="0" w:space="0" w:color="auto"/>
                <w:bottom w:val="none" w:sz="0" w:space="0" w:color="auto"/>
                <w:right w:val="none" w:sz="0" w:space="0" w:color="auto"/>
              </w:divBdr>
              <w:divsChild>
                <w:div w:id="1468737602">
                  <w:marLeft w:val="0"/>
                  <w:marRight w:val="0"/>
                  <w:marTop w:val="0"/>
                  <w:marBottom w:val="0"/>
                  <w:divBdr>
                    <w:top w:val="none" w:sz="0" w:space="0" w:color="auto"/>
                    <w:left w:val="none" w:sz="0" w:space="0" w:color="auto"/>
                    <w:bottom w:val="none" w:sz="0" w:space="0" w:color="auto"/>
                    <w:right w:val="none" w:sz="0" w:space="0" w:color="auto"/>
                  </w:divBdr>
                  <w:divsChild>
                    <w:div w:id="1708531963">
                      <w:marLeft w:val="0"/>
                      <w:marRight w:val="0"/>
                      <w:marTop w:val="0"/>
                      <w:marBottom w:val="0"/>
                      <w:divBdr>
                        <w:top w:val="none" w:sz="0" w:space="0" w:color="auto"/>
                        <w:left w:val="none" w:sz="0" w:space="0" w:color="auto"/>
                        <w:bottom w:val="none" w:sz="0" w:space="0" w:color="auto"/>
                        <w:right w:val="none" w:sz="0" w:space="0" w:color="auto"/>
                      </w:divBdr>
                      <w:divsChild>
                        <w:div w:id="1148742579">
                          <w:marLeft w:val="0"/>
                          <w:marRight w:val="0"/>
                          <w:marTop w:val="0"/>
                          <w:marBottom w:val="0"/>
                          <w:divBdr>
                            <w:top w:val="none" w:sz="0" w:space="0" w:color="auto"/>
                            <w:left w:val="none" w:sz="0" w:space="0" w:color="auto"/>
                            <w:bottom w:val="none" w:sz="0" w:space="0" w:color="auto"/>
                            <w:right w:val="none" w:sz="0" w:space="0" w:color="auto"/>
                          </w:divBdr>
                          <w:divsChild>
                            <w:div w:id="1874343975">
                              <w:marLeft w:val="0"/>
                              <w:marRight w:val="0"/>
                              <w:marTop w:val="0"/>
                              <w:marBottom w:val="0"/>
                              <w:divBdr>
                                <w:top w:val="none" w:sz="0" w:space="0" w:color="auto"/>
                                <w:left w:val="none" w:sz="0" w:space="0" w:color="auto"/>
                                <w:bottom w:val="none" w:sz="0" w:space="0" w:color="auto"/>
                                <w:right w:val="none" w:sz="0" w:space="0" w:color="auto"/>
                              </w:divBdr>
                              <w:divsChild>
                                <w:div w:id="1502888100">
                                  <w:marLeft w:val="0"/>
                                  <w:marRight w:val="0"/>
                                  <w:marTop w:val="0"/>
                                  <w:marBottom w:val="0"/>
                                  <w:divBdr>
                                    <w:top w:val="none" w:sz="0" w:space="0" w:color="auto"/>
                                    <w:left w:val="none" w:sz="0" w:space="0" w:color="auto"/>
                                    <w:bottom w:val="none" w:sz="0" w:space="0" w:color="auto"/>
                                    <w:right w:val="none" w:sz="0" w:space="0" w:color="auto"/>
                                  </w:divBdr>
                                  <w:divsChild>
                                    <w:div w:id="1896309142">
                                      <w:marLeft w:val="0"/>
                                      <w:marRight w:val="0"/>
                                      <w:marTop w:val="0"/>
                                      <w:marBottom w:val="0"/>
                                      <w:divBdr>
                                        <w:top w:val="none" w:sz="0" w:space="0" w:color="auto"/>
                                        <w:left w:val="none" w:sz="0" w:space="0" w:color="auto"/>
                                        <w:bottom w:val="none" w:sz="0" w:space="0" w:color="auto"/>
                                        <w:right w:val="none" w:sz="0" w:space="0" w:color="auto"/>
                                      </w:divBdr>
                                      <w:divsChild>
                                        <w:div w:id="200823550">
                                          <w:marLeft w:val="0"/>
                                          <w:marRight w:val="0"/>
                                          <w:marTop w:val="0"/>
                                          <w:marBottom w:val="0"/>
                                          <w:divBdr>
                                            <w:top w:val="none" w:sz="0" w:space="0" w:color="auto"/>
                                            <w:left w:val="none" w:sz="0" w:space="0" w:color="auto"/>
                                            <w:bottom w:val="none" w:sz="0" w:space="0" w:color="auto"/>
                                            <w:right w:val="none" w:sz="0" w:space="0" w:color="auto"/>
                                          </w:divBdr>
                                          <w:divsChild>
                                            <w:div w:id="233247352">
                                              <w:marLeft w:val="0"/>
                                              <w:marRight w:val="0"/>
                                              <w:marTop w:val="0"/>
                                              <w:marBottom w:val="0"/>
                                              <w:divBdr>
                                                <w:top w:val="none" w:sz="0" w:space="0" w:color="auto"/>
                                                <w:left w:val="none" w:sz="0" w:space="0" w:color="auto"/>
                                                <w:bottom w:val="none" w:sz="0" w:space="0" w:color="auto"/>
                                                <w:right w:val="none" w:sz="0" w:space="0" w:color="auto"/>
                                              </w:divBdr>
                                              <w:divsChild>
                                                <w:div w:id="2125997585">
                                                  <w:marLeft w:val="0"/>
                                                  <w:marRight w:val="0"/>
                                                  <w:marTop w:val="0"/>
                                                  <w:marBottom w:val="0"/>
                                                  <w:divBdr>
                                                    <w:top w:val="none" w:sz="0" w:space="0" w:color="auto"/>
                                                    <w:left w:val="none" w:sz="0" w:space="0" w:color="auto"/>
                                                    <w:bottom w:val="none" w:sz="0" w:space="0" w:color="auto"/>
                                                    <w:right w:val="none" w:sz="0" w:space="0" w:color="auto"/>
                                                  </w:divBdr>
                                                </w:div>
                                                <w:div w:id="1933661462">
                                                  <w:marLeft w:val="0"/>
                                                  <w:marRight w:val="0"/>
                                                  <w:marTop w:val="0"/>
                                                  <w:marBottom w:val="0"/>
                                                  <w:divBdr>
                                                    <w:top w:val="none" w:sz="0" w:space="0" w:color="auto"/>
                                                    <w:left w:val="none" w:sz="0" w:space="0" w:color="auto"/>
                                                    <w:bottom w:val="none" w:sz="0" w:space="0" w:color="auto"/>
                                                    <w:right w:val="none" w:sz="0" w:space="0" w:color="auto"/>
                                                  </w:divBdr>
                                                </w:div>
                                                <w:div w:id="1425496630">
                                                  <w:marLeft w:val="0"/>
                                                  <w:marRight w:val="0"/>
                                                  <w:marTop w:val="0"/>
                                                  <w:marBottom w:val="0"/>
                                                  <w:divBdr>
                                                    <w:top w:val="none" w:sz="0" w:space="0" w:color="auto"/>
                                                    <w:left w:val="none" w:sz="0" w:space="0" w:color="auto"/>
                                                    <w:bottom w:val="none" w:sz="0" w:space="0" w:color="auto"/>
                                                    <w:right w:val="none" w:sz="0" w:space="0" w:color="auto"/>
                                                  </w:divBdr>
                                                </w:div>
                                                <w:div w:id="2027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68616">
      <w:bodyDiv w:val="1"/>
      <w:marLeft w:val="0"/>
      <w:marRight w:val="0"/>
      <w:marTop w:val="0"/>
      <w:marBottom w:val="0"/>
      <w:divBdr>
        <w:top w:val="none" w:sz="0" w:space="0" w:color="auto"/>
        <w:left w:val="none" w:sz="0" w:space="0" w:color="auto"/>
        <w:bottom w:val="none" w:sz="0" w:space="0" w:color="auto"/>
        <w:right w:val="none" w:sz="0" w:space="0" w:color="auto"/>
      </w:divBdr>
    </w:div>
    <w:div w:id="531529025">
      <w:bodyDiv w:val="1"/>
      <w:marLeft w:val="0"/>
      <w:marRight w:val="0"/>
      <w:marTop w:val="0"/>
      <w:marBottom w:val="0"/>
      <w:divBdr>
        <w:top w:val="none" w:sz="0" w:space="0" w:color="auto"/>
        <w:left w:val="none" w:sz="0" w:space="0" w:color="auto"/>
        <w:bottom w:val="none" w:sz="0" w:space="0" w:color="auto"/>
        <w:right w:val="none" w:sz="0" w:space="0" w:color="auto"/>
      </w:divBdr>
    </w:div>
    <w:div w:id="654407998">
      <w:bodyDiv w:val="1"/>
      <w:marLeft w:val="0"/>
      <w:marRight w:val="0"/>
      <w:marTop w:val="0"/>
      <w:marBottom w:val="0"/>
      <w:divBdr>
        <w:top w:val="none" w:sz="0" w:space="0" w:color="auto"/>
        <w:left w:val="none" w:sz="0" w:space="0" w:color="auto"/>
        <w:bottom w:val="none" w:sz="0" w:space="0" w:color="auto"/>
        <w:right w:val="none" w:sz="0" w:space="0" w:color="auto"/>
      </w:divBdr>
      <w:divsChild>
        <w:div w:id="876745737">
          <w:marLeft w:val="0"/>
          <w:marRight w:val="0"/>
          <w:marTop w:val="0"/>
          <w:marBottom w:val="0"/>
          <w:divBdr>
            <w:top w:val="none" w:sz="0" w:space="0" w:color="auto"/>
            <w:left w:val="none" w:sz="0" w:space="0" w:color="auto"/>
            <w:bottom w:val="none" w:sz="0" w:space="0" w:color="auto"/>
            <w:right w:val="none" w:sz="0" w:space="0" w:color="auto"/>
          </w:divBdr>
        </w:div>
        <w:div w:id="961957707">
          <w:marLeft w:val="0"/>
          <w:marRight w:val="0"/>
          <w:marTop w:val="0"/>
          <w:marBottom w:val="0"/>
          <w:divBdr>
            <w:top w:val="none" w:sz="0" w:space="0" w:color="auto"/>
            <w:left w:val="none" w:sz="0" w:space="0" w:color="auto"/>
            <w:bottom w:val="none" w:sz="0" w:space="0" w:color="auto"/>
            <w:right w:val="none" w:sz="0" w:space="0" w:color="auto"/>
          </w:divBdr>
        </w:div>
        <w:div w:id="8916043">
          <w:marLeft w:val="0"/>
          <w:marRight w:val="0"/>
          <w:marTop w:val="0"/>
          <w:marBottom w:val="0"/>
          <w:divBdr>
            <w:top w:val="none" w:sz="0" w:space="0" w:color="auto"/>
            <w:left w:val="none" w:sz="0" w:space="0" w:color="auto"/>
            <w:bottom w:val="none" w:sz="0" w:space="0" w:color="auto"/>
            <w:right w:val="none" w:sz="0" w:space="0" w:color="auto"/>
          </w:divBdr>
        </w:div>
        <w:div w:id="631834910">
          <w:marLeft w:val="0"/>
          <w:marRight w:val="0"/>
          <w:marTop w:val="0"/>
          <w:marBottom w:val="0"/>
          <w:divBdr>
            <w:top w:val="none" w:sz="0" w:space="0" w:color="auto"/>
            <w:left w:val="none" w:sz="0" w:space="0" w:color="auto"/>
            <w:bottom w:val="none" w:sz="0" w:space="0" w:color="auto"/>
            <w:right w:val="none" w:sz="0" w:space="0" w:color="auto"/>
          </w:divBdr>
        </w:div>
        <w:div w:id="1407845159">
          <w:marLeft w:val="0"/>
          <w:marRight w:val="0"/>
          <w:marTop w:val="0"/>
          <w:marBottom w:val="0"/>
          <w:divBdr>
            <w:top w:val="none" w:sz="0" w:space="0" w:color="auto"/>
            <w:left w:val="none" w:sz="0" w:space="0" w:color="auto"/>
            <w:bottom w:val="none" w:sz="0" w:space="0" w:color="auto"/>
            <w:right w:val="none" w:sz="0" w:space="0" w:color="auto"/>
          </w:divBdr>
        </w:div>
        <w:div w:id="57753311">
          <w:marLeft w:val="0"/>
          <w:marRight w:val="0"/>
          <w:marTop w:val="0"/>
          <w:marBottom w:val="0"/>
          <w:divBdr>
            <w:top w:val="none" w:sz="0" w:space="0" w:color="auto"/>
            <w:left w:val="none" w:sz="0" w:space="0" w:color="auto"/>
            <w:bottom w:val="none" w:sz="0" w:space="0" w:color="auto"/>
            <w:right w:val="none" w:sz="0" w:space="0" w:color="auto"/>
          </w:divBdr>
        </w:div>
        <w:div w:id="202668992">
          <w:marLeft w:val="0"/>
          <w:marRight w:val="0"/>
          <w:marTop w:val="0"/>
          <w:marBottom w:val="0"/>
          <w:divBdr>
            <w:top w:val="none" w:sz="0" w:space="0" w:color="auto"/>
            <w:left w:val="none" w:sz="0" w:space="0" w:color="auto"/>
            <w:bottom w:val="none" w:sz="0" w:space="0" w:color="auto"/>
            <w:right w:val="none" w:sz="0" w:space="0" w:color="auto"/>
          </w:divBdr>
        </w:div>
      </w:divsChild>
    </w:div>
    <w:div w:id="763888053">
      <w:bodyDiv w:val="1"/>
      <w:marLeft w:val="0"/>
      <w:marRight w:val="0"/>
      <w:marTop w:val="0"/>
      <w:marBottom w:val="0"/>
      <w:divBdr>
        <w:top w:val="none" w:sz="0" w:space="0" w:color="auto"/>
        <w:left w:val="none" w:sz="0" w:space="0" w:color="auto"/>
        <w:bottom w:val="none" w:sz="0" w:space="0" w:color="auto"/>
        <w:right w:val="none" w:sz="0" w:space="0" w:color="auto"/>
      </w:divBdr>
    </w:div>
    <w:div w:id="1767535898">
      <w:bodyDiv w:val="1"/>
      <w:marLeft w:val="0"/>
      <w:marRight w:val="0"/>
      <w:marTop w:val="0"/>
      <w:marBottom w:val="0"/>
      <w:divBdr>
        <w:top w:val="none" w:sz="0" w:space="0" w:color="auto"/>
        <w:left w:val="none" w:sz="0" w:space="0" w:color="auto"/>
        <w:bottom w:val="none" w:sz="0" w:space="0" w:color="auto"/>
        <w:right w:val="none" w:sz="0" w:space="0" w:color="auto"/>
      </w:divBdr>
    </w:div>
    <w:div w:id="208136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uters.com/investigates/special-report/glyphosate-cance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E9EB-74BD-4FEF-B7BA-50F3CD2C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7282</Words>
  <Characters>40057</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Claude Viau</cp:lastModifiedBy>
  <cp:revision>2</cp:revision>
  <cp:lastPrinted>2016-04-19T10:19:00Z</cp:lastPrinted>
  <dcterms:created xsi:type="dcterms:W3CDTF">2017-07-10T16:02:00Z</dcterms:created>
  <dcterms:modified xsi:type="dcterms:W3CDTF">2017-07-10T16:02:00Z</dcterms:modified>
</cp:coreProperties>
</file>